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55" w:rsidRPr="001F50C1" w:rsidRDefault="00924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6807" w:rsidRPr="001F50C1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0C1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1F50C1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003753" w:rsidRPr="001F50C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3753" w:rsidRPr="001F50C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03753" w:rsidRPr="001F50C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1F50C1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01"/>
        <w:gridCol w:w="6804"/>
        <w:gridCol w:w="6662"/>
      </w:tblGrid>
      <w:tr w:rsidR="001F50C1" w:rsidRPr="001F50C1" w:rsidTr="00924255">
        <w:trPr>
          <w:trHeight w:val="1536"/>
        </w:trPr>
        <w:tc>
          <w:tcPr>
            <w:tcW w:w="644" w:type="dxa"/>
            <w:vAlign w:val="center"/>
          </w:tcPr>
          <w:p w:rsidR="00E16807" w:rsidRPr="001F50C1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1F50C1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Пункт р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6804" w:type="dxa"/>
            <w:vAlign w:val="center"/>
          </w:tcPr>
          <w:p w:rsidR="00E16807" w:rsidRPr="001F50C1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1F50C1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1F50C1" w:rsidRPr="001F50C1" w:rsidTr="00DA1D75">
        <w:trPr>
          <w:trHeight w:val="315"/>
        </w:trPr>
        <w:tc>
          <w:tcPr>
            <w:tcW w:w="644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50C1" w:rsidRPr="001F50C1" w:rsidTr="00125534">
        <w:trPr>
          <w:trHeight w:val="1082"/>
        </w:trPr>
        <w:tc>
          <w:tcPr>
            <w:tcW w:w="644" w:type="dxa"/>
          </w:tcPr>
          <w:p w:rsidR="004A3488" w:rsidRPr="001F50C1" w:rsidRDefault="004A3488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A3488" w:rsidRPr="001F50C1" w:rsidRDefault="004A3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п.п.1 п.1.1. части 1</w:t>
            </w:r>
          </w:p>
        </w:tc>
        <w:tc>
          <w:tcPr>
            <w:tcW w:w="6804" w:type="dxa"/>
          </w:tcPr>
          <w:p w:rsidR="004A3488" w:rsidRPr="001F50C1" w:rsidRDefault="004A3488" w:rsidP="003F6D2D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Pr="001F50C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2 812 178 572,18</w:t>
            </w:r>
            <w:r w:rsidRPr="001F50C1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2 603 106 714,93 рублей, на 2023 год в сумме 2 641 466 078,85 рублей;</w:t>
            </w:r>
          </w:p>
        </w:tc>
        <w:tc>
          <w:tcPr>
            <w:tcW w:w="6662" w:type="dxa"/>
          </w:tcPr>
          <w:p w:rsidR="004A3488" w:rsidRPr="001F50C1" w:rsidRDefault="004A3488" w:rsidP="00B46B2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="00B46B29" w:rsidRPr="001F50C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2 795 671 795,34</w:t>
            </w:r>
            <w:r w:rsidRPr="001F50C1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2 603 106 714,93 рублей, на 2023 год в сумме 2 641 466 078,85 рублей;</w:t>
            </w:r>
          </w:p>
        </w:tc>
      </w:tr>
      <w:tr w:rsidR="001F50C1" w:rsidRPr="001F50C1" w:rsidTr="00DA1D75">
        <w:trPr>
          <w:trHeight w:val="1613"/>
        </w:trPr>
        <w:tc>
          <w:tcPr>
            <w:tcW w:w="644" w:type="dxa"/>
          </w:tcPr>
          <w:p w:rsidR="004A3488" w:rsidRPr="001F50C1" w:rsidRDefault="004A3488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A3488" w:rsidRPr="001F50C1" w:rsidRDefault="004A3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п.п.2 п.1.1. части 1</w:t>
            </w:r>
          </w:p>
        </w:tc>
        <w:tc>
          <w:tcPr>
            <w:tcW w:w="6804" w:type="dxa"/>
          </w:tcPr>
          <w:p w:rsidR="004A3488" w:rsidRPr="001F50C1" w:rsidRDefault="004A3488" w:rsidP="0012553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1F50C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2 949 868 670,03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2 603 106 714,93 </w:t>
            </w:r>
            <w:r w:rsidRPr="001F50C1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2 641 466 078,85  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48 264 636,16 рублей;</w:t>
            </w:r>
          </w:p>
        </w:tc>
        <w:tc>
          <w:tcPr>
            <w:tcW w:w="6662" w:type="dxa"/>
          </w:tcPr>
          <w:p w:rsidR="004A3488" w:rsidRPr="001F50C1" w:rsidRDefault="004A3488" w:rsidP="00B46B2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="00B46B29" w:rsidRPr="001F50C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2 933 361 893,19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2 603 106 714,93 </w:t>
            </w:r>
            <w:r w:rsidRPr="001F50C1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1F50C1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2 641 466 078,85  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жденные расходы в сумме 48 264 636,16 рублей;</w:t>
            </w:r>
          </w:p>
        </w:tc>
      </w:tr>
      <w:tr w:rsidR="001F50C1" w:rsidRPr="001F50C1" w:rsidTr="00DA1D75">
        <w:trPr>
          <w:trHeight w:val="315"/>
        </w:trPr>
        <w:tc>
          <w:tcPr>
            <w:tcW w:w="644" w:type="dxa"/>
          </w:tcPr>
          <w:p w:rsidR="00F9444E" w:rsidRPr="001F50C1" w:rsidRDefault="00F9444E" w:rsidP="004E4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9444E" w:rsidRPr="001F50C1" w:rsidRDefault="00F9444E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п.4.1. части 4</w:t>
            </w:r>
          </w:p>
        </w:tc>
        <w:tc>
          <w:tcPr>
            <w:tcW w:w="6804" w:type="dxa"/>
          </w:tcPr>
          <w:p w:rsidR="00F9444E" w:rsidRPr="001F50C1" w:rsidRDefault="00F9444E" w:rsidP="009253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го округа объем межбюджетных трансфертов, получ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емых из бюджета Ставропольского края, на 2021 год в сумме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2 186 392 532,46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1 963 433 241,83 рублей, на 2023 год в сумме 1 991 005 355,75 рублей.</w:t>
            </w:r>
          </w:p>
        </w:tc>
        <w:tc>
          <w:tcPr>
            <w:tcW w:w="6662" w:type="dxa"/>
          </w:tcPr>
          <w:p w:rsidR="00F9444E" w:rsidRPr="001F50C1" w:rsidRDefault="00F9444E" w:rsidP="009F08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ского округа объем межбюджетных трансфертов, п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лучаемых из бюджета Ставропольского края, на 2021 год в сумме </w:t>
            </w:r>
            <w:r w:rsidR="00B46B29" w:rsidRPr="001F50C1">
              <w:rPr>
                <w:rFonts w:ascii="Times New Roman" w:hAnsi="Times New Roman"/>
                <w:b/>
                <w:sz w:val="28"/>
                <w:szCs w:val="28"/>
              </w:rPr>
              <w:t>2 164 405 911,2</w:t>
            </w:r>
            <w:r w:rsidR="009F088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1 963 433 241,83 рублей, на 2023 год в сумме 1 991 005 355,75 рублей.</w:t>
            </w:r>
          </w:p>
        </w:tc>
      </w:tr>
      <w:tr w:rsidR="001F50C1" w:rsidRPr="001F50C1" w:rsidTr="00DA1D75">
        <w:trPr>
          <w:trHeight w:val="315"/>
        </w:trPr>
        <w:tc>
          <w:tcPr>
            <w:tcW w:w="644" w:type="dxa"/>
          </w:tcPr>
          <w:p w:rsidR="00F9444E" w:rsidRPr="001F50C1" w:rsidRDefault="00F9444E" w:rsidP="00F9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F9444E" w:rsidRPr="001F50C1" w:rsidRDefault="00F9444E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п.5.4. части 5</w:t>
            </w:r>
          </w:p>
        </w:tc>
        <w:tc>
          <w:tcPr>
            <w:tcW w:w="6804" w:type="dxa"/>
          </w:tcPr>
          <w:p w:rsidR="00F9444E" w:rsidRPr="001F50C1" w:rsidRDefault="00F9444E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г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я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зательств на 2021 год в сумме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588 615 579,89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1F50C1">
              <w:rPr>
                <w:rFonts w:ascii="Times New Roman" w:hAnsi="Times New Roman"/>
                <w:sz w:val="28"/>
                <w:szCs w:val="28"/>
              </w:rPr>
              <w:lastRenderedPageBreak/>
              <w:t>на 2022 год в сумме 567 424 706,71 рублей и на 2023 год в сумме 575 193 322,29 рублей.</w:t>
            </w:r>
          </w:p>
        </w:tc>
        <w:tc>
          <w:tcPr>
            <w:tcW w:w="6662" w:type="dxa"/>
          </w:tcPr>
          <w:p w:rsidR="00F9444E" w:rsidRPr="001F50C1" w:rsidRDefault="00F9444E" w:rsidP="006C4D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lastRenderedPageBreak/>
              <w:t>5.4. Утвердить общий объем бюджетных асси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г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2021 год в сумме </w:t>
            </w:r>
            <w:r w:rsidR="006C4D77" w:rsidRPr="001F50C1">
              <w:rPr>
                <w:rFonts w:ascii="Times New Roman" w:hAnsi="Times New Roman"/>
                <w:b/>
                <w:sz w:val="28"/>
                <w:szCs w:val="28"/>
              </w:rPr>
              <w:t>588 626 514,49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z w:val="28"/>
                <w:szCs w:val="28"/>
              </w:rPr>
              <w:lastRenderedPageBreak/>
              <w:t>рублей, на 2022 год в сумме 567 424 706,71 рублей и на 2023 год в сумме 575 193 322,29 рублей.</w:t>
            </w:r>
          </w:p>
        </w:tc>
      </w:tr>
      <w:tr w:rsidR="001F50C1" w:rsidRPr="001F50C1" w:rsidTr="00DA1D75">
        <w:trPr>
          <w:trHeight w:val="315"/>
        </w:trPr>
        <w:tc>
          <w:tcPr>
            <w:tcW w:w="644" w:type="dxa"/>
          </w:tcPr>
          <w:p w:rsidR="00F9444E" w:rsidRPr="001F50C1" w:rsidRDefault="00F9444E" w:rsidP="00F9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F9444E" w:rsidRPr="001F50C1" w:rsidRDefault="00F9444E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п.5.5. части 5</w:t>
            </w:r>
          </w:p>
        </w:tc>
        <w:tc>
          <w:tcPr>
            <w:tcW w:w="6804" w:type="dxa"/>
          </w:tcPr>
          <w:p w:rsidR="00F9444E" w:rsidRPr="001F50C1" w:rsidRDefault="00F9444E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 xml:space="preserve">5.5. Утвердить объем бюджетных ассигнований дорожного фонда Изобильненского городского округа Ставропольского края на 2021 год в сумме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353 135 596,26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301 107 850,48 рублей и на 2023 год в сумме 318 494 172,88 рублей.</w:t>
            </w:r>
          </w:p>
        </w:tc>
        <w:tc>
          <w:tcPr>
            <w:tcW w:w="6662" w:type="dxa"/>
          </w:tcPr>
          <w:p w:rsidR="00F9444E" w:rsidRPr="001F50C1" w:rsidRDefault="00F9444E" w:rsidP="006C4D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>5.5. Утвердить объем бюджетных ассигнований дорожного фонда Изобильненского городского окр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у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2021 год в сумме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353 </w:t>
            </w:r>
            <w:r w:rsidR="006C4D77" w:rsidRPr="001F50C1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5 596,26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301 107 850,48 рублей и на 2023 год в сумме 318 494 172,88 рублей.</w:t>
            </w:r>
          </w:p>
        </w:tc>
      </w:tr>
      <w:tr w:rsidR="001F50C1" w:rsidRPr="001F50C1" w:rsidTr="00264636">
        <w:trPr>
          <w:trHeight w:val="1479"/>
        </w:trPr>
        <w:tc>
          <w:tcPr>
            <w:tcW w:w="644" w:type="dxa"/>
          </w:tcPr>
          <w:p w:rsidR="00264636" w:rsidRPr="001F50C1" w:rsidRDefault="00264636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64636" w:rsidRPr="001F50C1" w:rsidRDefault="00264636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п.5.6. части 5</w:t>
            </w:r>
          </w:p>
        </w:tc>
        <w:tc>
          <w:tcPr>
            <w:tcW w:w="6804" w:type="dxa"/>
          </w:tcPr>
          <w:p w:rsidR="00264636" w:rsidRPr="001F50C1" w:rsidRDefault="00264636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5.6. Утвердить объем резервного фонда админ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польского края на 2021 год в сумме </w:t>
            </w:r>
            <w:r w:rsidR="006C4D77"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776 587,28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 и на 2023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рублей.</w:t>
            </w:r>
          </w:p>
        </w:tc>
        <w:tc>
          <w:tcPr>
            <w:tcW w:w="6662" w:type="dxa"/>
          </w:tcPr>
          <w:p w:rsidR="00264636" w:rsidRPr="001F50C1" w:rsidRDefault="00264636" w:rsidP="006C4D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5.6. Утвердить объем резервного фонда админ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польского края на 2021 год в сумме </w:t>
            </w:r>
            <w:r w:rsidR="006C4D77"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6C4D77" w:rsidRPr="001F50C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818 316,84 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ру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лей,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 и на 2023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рублей.</w:t>
            </w:r>
          </w:p>
        </w:tc>
      </w:tr>
      <w:tr w:rsidR="001F50C1" w:rsidRPr="001F50C1" w:rsidTr="0033160F">
        <w:trPr>
          <w:trHeight w:val="1809"/>
        </w:trPr>
        <w:tc>
          <w:tcPr>
            <w:tcW w:w="644" w:type="dxa"/>
          </w:tcPr>
          <w:p w:rsidR="00264636" w:rsidRPr="001F50C1" w:rsidRDefault="00264636" w:rsidP="00264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264636" w:rsidRPr="001F50C1" w:rsidRDefault="00BB5DBB" w:rsidP="00BB5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п.п.2 п.6.1. части 6</w:t>
            </w:r>
          </w:p>
        </w:tc>
        <w:tc>
          <w:tcPr>
            <w:tcW w:w="6804" w:type="dxa"/>
          </w:tcPr>
          <w:p w:rsidR="00264636" w:rsidRPr="001F50C1" w:rsidRDefault="00A63695" w:rsidP="004A34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 xml:space="preserve">2) бюджетных ассигнований на 2021 год в объеме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776 587,28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600 000,00 рублей, на 2023 год в объеме 600 000,00 рублей, предусмотренных финансовому управлению админ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страции городского округа по разделу «Общегосуда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ственные вопросы», подразделу «Резервные фонды» целевой статье расходов «Резервные фонды местных администраций» на финансовое обеспечение провед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ния непредвиденных расходов, в том числе на пров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дение аварийно-восстановительных работ и иных м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роприятий, связанных с ликвидацией последствий стихийных бедствий и других чрезвычайных ситуаций на территории Изобильненского городского округа Ставропольского края по решению администрации городского округа;</w:t>
            </w:r>
          </w:p>
        </w:tc>
        <w:tc>
          <w:tcPr>
            <w:tcW w:w="6662" w:type="dxa"/>
          </w:tcPr>
          <w:p w:rsidR="00264636" w:rsidRPr="001F50C1" w:rsidRDefault="00BB5DBB" w:rsidP="006C4D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>2) бюджетных ассигнований на 2021 год в объ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6C4D77" w:rsidRPr="001F50C1">
              <w:rPr>
                <w:rFonts w:ascii="Times New Roman" w:hAnsi="Times New Roman"/>
                <w:b/>
                <w:sz w:val="28"/>
                <w:szCs w:val="28"/>
              </w:rPr>
              <w:t>818 316,84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600 000,00 рублей, на 2023 год в объеме 600 000,00 ру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б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лей, предусмотренных финансовому управлению 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министрации городского округа по разделу «Общ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государственные вопросы», подразделу «Резервные фонды» целевой статье расходов «Резервные фонды местных администраций» на финансовое обеспеч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ние проведения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ы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чайных ситуаций на территории Изобильненского городского округа Ставропольского края по реш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нию администрации городского округа;</w:t>
            </w:r>
          </w:p>
        </w:tc>
      </w:tr>
      <w:tr w:rsidR="001F50C1" w:rsidRPr="001F50C1" w:rsidTr="0033160F">
        <w:trPr>
          <w:trHeight w:val="1809"/>
        </w:trPr>
        <w:tc>
          <w:tcPr>
            <w:tcW w:w="644" w:type="dxa"/>
          </w:tcPr>
          <w:p w:rsidR="00264636" w:rsidRPr="001F50C1" w:rsidRDefault="00264636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264636" w:rsidRPr="001F50C1" w:rsidRDefault="00BB5DBB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п.п.6 п.6.1. части 6</w:t>
            </w:r>
          </w:p>
        </w:tc>
        <w:tc>
          <w:tcPr>
            <w:tcW w:w="6804" w:type="dxa"/>
          </w:tcPr>
          <w:p w:rsidR="00264636" w:rsidRPr="001F50C1" w:rsidRDefault="00A63695" w:rsidP="004A34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 xml:space="preserve">6) бюджетных ассигнований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на 2021 год в объ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ме 2 000 000,00 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 на 2022 год в объеме 2 000 000,00 рублей, на 2023 год в объеме 2 000 000,00 ру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б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лей, предусмотренных отделу образования админ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страции городского округа по разделу «Образование», подразделу «Другие вопросы в области образования», целевой статье расходов «Расходы за счет резервир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ванных средств на финансирование первоочередных расходов учреждений образования при условии пр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влечения безвозмездных поступлений» на финансир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вание первоочередных расходов учреждений образ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вания при условии привлечения безвозмездных п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ступлений в порядке, установленном администрацией городского округа;</w:t>
            </w:r>
          </w:p>
        </w:tc>
        <w:tc>
          <w:tcPr>
            <w:tcW w:w="6662" w:type="dxa"/>
          </w:tcPr>
          <w:p w:rsidR="00264636" w:rsidRPr="001F50C1" w:rsidRDefault="00BB5DBB" w:rsidP="006C4D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 xml:space="preserve">6) бюджетных ассигнований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на 2021 год в об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ъ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 xml:space="preserve">еме </w:t>
            </w:r>
            <w:r w:rsidR="006C4D77" w:rsidRPr="001F50C1">
              <w:rPr>
                <w:rFonts w:ascii="Times New Roman" w:hAnsi="Times New Roman"/>
                <w:b/>
                <w:sz w:val="28"/>
                <w:szCs w:val="28"/>
              </w:rPr>
              <w:t>2 528 221,51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 xml:space="preserve"> рублей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, на 2022 год в объеме 2 000 000,00 рублей, на 2023 год в объеме 2 000 000,00 рублей, предусмотренных отделу образования адм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нистрации городского округа по разделу «Образов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ние», подразделу «Другие вопросы в области образ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вания», целевой статье расходов «Расходы за счет резервированных средств на финансирование перв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очередных расходов учреждений образования при условии привлечения безвозмездных поступлений» на финансирование первоочередных расходов учр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ждений образования при условии привлечения бе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з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возмездных поступлений в порядке, установленном администрацией городского округа;</w:t>
            </w:r>
          </w:p>
        </w:tc>
      </w:tr>
      <w:tr w:rsidR="001F50C1" w:rsidRPr="001F50C1" w:rsidTr="0033160F">
        <w:trPr>
          <w:trHeight w:val="1809"/>
        </w:trPr>
        <w:tc>
          <w:tcPr>
            <w:tcW w:w="644" w:type="dxa"/>
          </w:tcPr>
          <w:p w:rsidR="00264636" w:rsidRPr="001F50C1" w:rsidRDefault="00264636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264636" w:rsidRPr="001F50C1" w:rsidRDefault="00BB5DBB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п.п.8 п.6.1. части 6</w:t>
            </w:r>
          </w:p>
        </w:tc>
        <w:tc>
          <w:tcPr>
            <w:tcW w:w="6804" w:type="dxa"/>
          </w:tcPr>
          <w:p w:rsidR="00264636" w:rsidRPr="001F50C1" w:rsidRDefault="00A63695" w:rsidP="004A34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 xml:space="preserve">8) бюджетных ассигнований на 2021 год в объеме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1 500 000,00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0,00 рублей, на 2023 год в объеме 0,00 рублей, предусмотренных администрации городского округа по разделу «Нац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ональная экономика», подразделу «Дорожное хозя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ство (дорожные фонды)», целевой статье расходов «Реализация инициативных проектов в области 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рожного хозяйства» на финансирование реализации инициативных проектов в области дорожного хозя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ства в порядке, установленном администрацией г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родского округа;</w:t>
            </w:r>
          </w:p>
        </w:tc>
        <w:tc>
          <w:tcPr>
            <w:tcW w:w="6662" w:type="dxa"/>
          </w:tcPr>
          <w:p w:rsidR="00264636" w:rsidRPr="001F50C1" w:rsidRDefault="00BB5DBB" w:rsidP="00C80AF0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z w:val="28"/>
                <w:szCs w:val="28"/>
              </w:rPr>
              <w:t>8) бюджетных ассигнований на 2021 год в объ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80AF0" w:rsidRPr="001F50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00 000,00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0,00 рублей, на 2023 год в объеме 0,00 рублей, пред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у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смотренных администрации городского округа по разделу «Национальная экономика», подразделу «Дорожное хозяйство (дорожные фонды)», целевой статье расходов «Реализация инициативных прое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к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тов в области дорожного хозяйства» на финансир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вание реализации инициативных проектов в области дорожного хозяйства в порядке, установленном 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министрацией городского округа;</w:t>
            </w:r>
          </w:p>
        </w:tc>
      </w:tr>
    </w:tbl>
    <w:p w:rsidR="00A921D4" w:rsidRPr="001F50C1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A921D4" w:rsidRPr="001F50C1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1F50C1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1F50C1">
        <w:rPr>
          <w:rFonts w:ascii="Times New Roman" w:hAnsi="Times New Roman"/>
          <w:sz w:val="28"/>
        </w:rPr>
        <w:t>Начальник финансового управления</w:t>
      </w:r>
    </w:p>
    <w:p w:rsidR="00E16807" w:rsidRPr="001F50C1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1F50C1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1F50C1" w:rsidRDefault="00E16807">
      <w:pPr>
        <w:spacing w:after="0" w:line="240" w:lineRule="exact"/>
      </w:pPr>
      <w:r w:rsidRPr="001F50C1">
        <w:rPr>
          <w:rFonts w:ascii="Times New Roman" w:hAnsi="Times New Roman"/>
          <w:sz w:val="28"/>
        </w:rPr>
        <w:t>округа Ставропольского края</w:t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  <w:t xml:space="preserve">               Л.И.Доброжанова</w:t>
      </w:r>
    </w:p>
    <w:sectPr w:rsidR="00F80D84" w:rsidRPr="001F50C1" w:rsidSect="00125534">
      <w:headerReference w:type="default" r:id="rId7"/>
      <w:pgSz w:w="16838" w:h="11906" w:orient="landscape"/>
      <w:pgMar w:top="1304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0882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F83"/>
    <w:rsid w:val="0009665E"/>
    <w:rsid w:val="000A1186"/>
    <w:rsid w:val="000A72C6"/>
    <w:rsid w:val="000C21BA"/>
    <w:rsid w:val="000C4AE7"/>
    <w:rsid w:val="000E12BA"/>
    <w:rsid w:val="000F0CC4"/>
    <w:rsid w:val="00101F31"/>
    <w:rsid w:val="0010281D"/>
    <w:rsid w:val="00125534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80886"/>
    <w:rsid w:val="002C28EC"/>
    <w:rsid w:val="002C29B3"/>
    <w:rsid w:val="002C55E7"/>
    <w:rsid w:val="002D1A5C"/>
    <w:rsid w:val="003168AD"/>
    <w:rsid w:val="0032760E"/>
    <w:rsid w:val="0033160F"/>
    <w:rsid w:val="00336D9E"/>
    <w:rsid w:val="00346D5D"/>
    <w:rsid w:val="00363B14"/>
    <w:rsid w:val="003B1956"/>
    <w:rsid w:val="003D4A71"/>
    <w:rsid w:val="003F1FF1"/>
    <w:rsid w:val="003F6D2D"/>
    <w:rsid w:val="004003C0"/>
    <w:rsid w:val="00415E8B"/>
    <w:rsid w:val="004206F1"/>
    <w:rsid w:val="00427221"/>
    <w:rsid w:val="004433C3"/>
    <w:rsid w:val="00456010"/>
    <w:rsid w:val="00462C86"/>
    <w:rsid w:val="004801E6"/>
    <w:rsid w:val="004A3488"/>
    <w:rsid w:val="004A3BFA"/>
    <w:rsid w:val="004C5D0F"/>
    <w:rsid w:val="004D026B"/>
    <w:rsid w:val="004E29C2"/>
    <w:rsid w:val="004E2B26"/>
    <w:rsid w:val="004E76EF"/>
    <w:rsid w:val="00510DB0"/>
    <w:rsid w:val="005A1B0C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E75"/>
    <w:rsid w:val="006E617F"/>
    <w:rsid w:val="006E685C"/>
    <w:rsid w:val="006F4C15"/>
    <w:rsid w:val="00735212"/>
    <w:rsid w:val="0075783E"/>
    <w:rsid w:val="0077173E"/>
    <w:rsid w:val="00771F0F"/>
    <w:rsid w:val="00792DEF"/>
    <w:rsid w:val="007B4AEF"/>
    <w:rsid w:val="007C3F26"/>
    <w:rsid w:val="007D567B"/>
    <w:rsid w:val="007E08E3"/>
    <w:rsid w:val="007E7F06"/>
    <w:rsid w:val="007F1658"/>
    <w:rsid w:val="00806957"/>
    <w:rsid w:val="00810C66"/>
    <w:rsid w:val="00820B5B"/>
    <w:rsid w:val="00833227"/>
    <w:rsid w:val="0084233C"/>
    <w:rsid w:val="00874396"/>
    <w:rsid w:val="008B391F"/>
    <w:rsid w:val="008C4DBA"/>
    <w:rsid w:val="008C551E"/>
    <w:rsid w:val="008D6FD6"/>
    <w:rsid w:val="008F7A4F"/>
    <w:rsid w:val="00911117"/>
    <w:rsid w:val="00924255"/>
    <w:rsid w:val="00932194"/>
    <w:rsid w:val="00932A7A"/>
    <w:rsid w:val="009876E0"/>
    <w:rsid w:val="00996335"/>
    <w:rsid w:val="00996CA9"/>
    <w:rsid w:val="009B469C"/>
    <w:rsid w:val="009C15D9"/>
    <w:rsid w:val="009C3624"/>
    <w:rsid w:val="009E44E4"/>
    <w:rsid w:val="009E7D48"/>
    <w:rsid w:val="009F0882"/>
    <w:rsid w:val="00A057F4"/>
    <w:rsid w:val="00A21E5C"/>
    <w:rsid w:val="00A27FE4"/>
    <w:rsid w:val="00A42594"/>
    <w:rsid w:val="00A54D90"/>
    <w:rsid w:val="00A63695"/>
    <w:rsid w:val="00A65685"/>
    <w:rsid w:val="00A85578"/>
    <w:rsid w:val="00A87A46"/>
    <w:rsid w:val="00A921D4"/>
    <w:rsid w:val="00AA0DAD"/>
    <w:rsid w:val="00AC4121"/>
    <w:rsid w:val="00AD1D16"/>
    <w:rsid w:val="00AD76A4"/>
    <w:rsid w:val="00B45960"/>
    <w:rsid w:val="00B45A86"/>
    <w:rsid w:val="00B46B29"/>
    <w:rsid w:val="00B54909"/>
    <w:rsid w:val="00B55B76"/>
    <w:rsid w:val="00B57F1B"/>
    <w:rsid w:val="00B67600"/>
    <w:rsid w:val="00B71068"/>
    <w:rsid w:val="00B92027"/>
    <w:rsid w:val="00BA1836"/>
    <w:rsid w:val="00BB5DBB"/>
    <w:rsid w:val="00BD6C27"/>
    <w:rsid w:val="00BE5DFB"/>
    <w:rsid w:val="00C11929"/>
    <w:rsid w:val="00C22B0E"/>
    <w:rsid w:val="00C37303"/>
    <w:rsid w:val="00C55360"/>
    <w:rsid w:val="00C80AF0"/>
    <w:rsid w:val="00C86B85"/>
    <w:rsid w:val="00CC57E2"/>
    <w:rsid w:val="00CE5B13"/>
    <w:rsid w:val="00D01D0B"/>
    <w:rsid w:val="00D65AD1"/>
    <w:rsid w:val="00D7464B"/>
    <w:rsid w:val="00D82683"/>
    <w:rsid w:val="00DA1D75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9444E"/>
    <w:rsid w:val="00FA7003"/>
    <w:rsid w:val="00FD006A"/>
    <w:rsid w:val="00FD2958"/>
    <w:rsid w:val="00FD4FB1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328</cp:revision>
  <cp:lastPrinted>2020-06-05T09:16:00Z</cp:lastPrinted>
  <dcterms:created xsi:type="dcterms:W3CDTF">2018-01-17T15:10:00Z</dcterms:created>
  <dcterms:modified xsi:type="dcterms:W3CDTF">2021-06-04T12:48:00Z</dcterms:modified>
</cp:coreProperties>
</file>