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EA1E" w14:textId="77777777" w:rsidR="00E6189B" w:rsidRPr="00CC640C" w:rsidRDefault="00E6189B" w:rsidP="00E6189B">
      <w:pPr>
        <w:pStyle w:val="ConsPlusTitle"/>
        <w:widowControl/>
        <w:spacing w:line="240" w:lineRule="exact"/>
        <w:ind w:firstLine="539"/>
        <w:jc w:val="center"/>
        <w:rPr>
          <w:rFonts w:ascii="Times New Roman" w:hAnsi="Times New Roman" w:cs="Times New Roman"/>
          <w:sz w:val="28"/>
          <w:szCs w:val="28"/>
        </w:rPr>
      </w:pPr>
      <w:r w:rsidRPr="00CC640C">
        <w:rPr>
          <w:rFonts w:ascii="Times New Roman" w:hAnsi="Times New Roman" w:cs="Times New Roman"/>
          <w:sz w:val="28"/>
          <w:szCs w:val="28"/>
        </w:rPr>
        <w:t>СРАВНИТЕЛЬНАЯ ТАБЛИЦА</w:t>
      </w:r>
    </w:p>
    <w:p w14:paraId="048364A0" w14:textId="77777777" w:rsidR="00EE6588" w:rsidRPr="008F6A20" w:rsidRDefault="00EE6588" w:rsidP="00EE6588">
      <w:pPr>
        <w:spacing w:line="192" w:lineRule="auto"/>
        <w:jc w:val="center"/>
        <w:rPr>
          <w:sz w:val="28"/>
          <w:szCs w:val="28"/>
        </w:rPr>
      </w:pPr>
      <w:r w:rsidRPr="008F6A20">
        <w:rPr>
          <w:sz w:val="28"/>
          <w:szCs w:val="28"/>
        </w:rPr>
        <w:t xml:space="preserve">к проекту решения Думы Изобильненского </w:t>
      </w:r>
    </w:p>
    <w:p w14:paraId="3FB7F995" w14:textId="77777777" w:rsidR="00EE6588" w:rsidRPr="008F6A20" w:rsidRDefault="00EE6588" w:rsidP="00EE6588">
      <w:pPr>
        <w:spacing w:line="192" w:lineRule="auto"/>
        <w:jc w:val="center"/>
        <w:rPr>
          <w:sz w:val="28"/>
          <w:szCs w:val="28"/>
        </w:rPr>
      </w:pPr>
      <w:r w:rsidRPr="008F6A20">
        <w:rPr>
          <w:sz w:val="28"/>
          <w:szCs w:val="28"/>
        </w:rPr>
        <w:t>городского округа Ставропольского края «</w:t>
      </w:r>
      <w:bookmarkStart w:id="0" w:name="_Hlk72826990"/>
      <w:r w:rsidRPr="008F6A20">
        <w:rPr>
          <w:sz w:val="28"/>
          <w:szCs w:val="28"/>
        </w:rPr>
        <w:t xml:space="preserve">О внесении изменений </w:t>
      </w:r>
    </w:p>
    <w:p w14:paraId="0FEEB075" w14:textId="77777777" w:rsidR="00EE6588" w:rsidRPr="008F6A20" w:rsidRDefault="00EE6588" w:rsidP="00EE6588">
      <w:pPr>
        <w:spacing w:line="192" w:lineRule="auto"/>
        <w:jc w:val="center"/>
        <w:rPr>
          <w:sz w:val="28"/>
          <w:szCs w:val="28"/>
        </w:rPr>
      </w:pPr>
      <w:r w:rsidRPr="008F6A20">
        <w:rPr>
          <w:sz w:val="28"/>
          <w:szCs w:val="28"/>
        </w:rPr>
        <w:t>в пункт 3 Порядка и нормативов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 утвержденного решением Думы Изобильненского городского округа Ставропольского края от 20 февраля 2018 года №91</w:t>
      </w:r>
      <w:bookmarkEnd w:id="0"/>
      <w:r w:rsidRPr="008F6A20">
        <w:rPr>
          <w:sz w:val="28"/>
          <w:szCs w:val="28"/>
        </w:rPr>
        <w:t>»</w:t>
      </w:r>
    </w:p>
    <w:p w14:paraId="3E34C8DF" w14:textId="77777777" w:rsidR="00E6189B" w:rsidRPr="00BF6E75" w:rsidRDefault="00E6189B" w:rsidP="00E6189B">
      <w:pPr>
        <w:pStyle w:val="ConsPlusTitle"/>
        <w:widowControl/>
        <w:spacing w:line="240" w:lineRule="exact"/>
        <w:ind w:firstLine="539"/>
        <w:jc w:val="center"/>
        <w:rPr>
          <w:rFonts w:ascii="Times New Roman" w:hAnsi="Times New Roman" w:cs="Times New Roman"/>
          <w:sz w:val="28"/>
          <w:szCs w:val="28"/>
        </w:rPr>
      </w:pPr>
    </w:p>
    <w:p w14:paraId="0A0AD819" w14:textId="77777777" w:rsidR="00E6189B" w:rsidRDefault="00E6189B" w:rsidP="00E6189B"/>
    <w:tbl>
      <w:tblPr>
        <w:tblStyle w:val="a3"/>
        <w:tblW w:w="10181" w:type="dxa"/>
        <w:tblLayout w:type="fixed"/>
        <w:tblLook w:val="04A0" w:firstRow="1" w:lastRow="0" w:firstColumn="1" w:lastColumn="0" w:noHBand="0" w:noVBand="1"/>
      </w:tblPr>
      <w:tblGrid>
        <w:gridCol w:w="666"/>
        <w:gridCol w:w="1143"/>
        <w:gridCol w:w="3686"/>
        <w:gridCol w:w="4679"/>
        <w:gridCol w:w="7"/>
      </w:tblGrid>
      <w:tr w:rsidR="00AB3298" w:rsidRPr="00EE6588" w14:paraId="2EF1CDB0" w14:textId="77777777" w:rsidTr="004B659D">
        <w:trPr>
          <w:gridAfter w:val="1"/>
          <w:wAfter w:w="7" w:type="dxa"/>
        </w:trPr>
        <w:tc>
          <w:tcPr>
            <w:tcW w:w="666" w:type="dxa"/>
          </w:tcPr>
          <w:p w14:paraId="5D10FCB0" w14:textId="77777777" w:rsidR="00AB3298" w:rsidRPr="00EE6588" w:rsidRDefault="00AB3298" w:rsidP="005E6B3A">
            <w:pPr>
              <w:spacing w:line="216" w:lineRule="auto"/>
              <w:jc w:val="center"/>
              <w:rPr>
                <w:b/>
                <w:sz w:val="28"/>
                <w:szCs w:val="28"/>
              </w:rPr>
            </w:pPr>
            <w:r w:rsidRPr="00EE6588">
              <w:rPr>
                <w:b/>
                <w:sz w:val="28"/>
                <w:szCs w:val="28"/>
              </w:rPr>
              <w:t>№ п/п</w:t>
            </w:r>
          </w:p>
        </w:tc>
        <w:tc>
          <w:tcPr>
            <w:tcW w:w="1143" w:type="dxa"/>
          </w:tcPr>
          <w:p w14:paraId="6FBAE252" w14:textId="77777777" w:rsidR="00AB3298" w:rsidRPr="00EE6588" w:rsidRDefault="00AB3298" w:rsidP="005E6B3A">
            <w:pPr>
              <w:spacing w:line="216" w:lineRule="auto"/>
              <w:jc w:val="center"/>
              <w:rPr>
                <w:b/>
                <w:sz w:val="28"/>
                <w:szCs w:val="28"/>
              </w:rPr>
            </w:pPr>
            <w:r w:rsidRPr="00EE6588">
              <w:rPr>
                <w:b/>
                <w:sz w:val="28"/>
                <w:szCs w:val="28"/>
              </w:rPr>
              <w:t>Структурная единица</w:t>
            </w:r>
          </w:p>
        </w:tc>
        <w:tc>
          <w:tcPr>
            <w:tcW w:w="3686" w:type="dxa"/>
          </w:tcPr>
          <w:p w14:paraId="6F8963B0" w14:textId="26CBF399" w:rsidR="00AB3298" w:rsidRPr="00EE6588" w:rsidRDefault="00AB3298" w:rsidP="005E6B3A">
            <w:pPr>
              <w:spacing w:line="216" w:lineRule="auto"/>
              <w:ind w:firstLine="510"/>
              <w:jc w:val="center"/>
              <w:rPr>
                <w:b/>
                <w:sz w:val="28"/>
                <w:szCs w:val="28"/>
              </w:rPr>
            </w:pPr>
            <w:r w:rsidRPr="00EE6588">
              <w:rPr>
                <w:b/>
                <w:sz w:val="28"/>
                <w:szCs w:val="28"/>
              </w:rPr>
              <w:t xml:space="preserve">Текст решения Думы Изобильненского городского округа Ставропольского </w:t>
            </w:r>
            <w:r w:rsidR="00EE6588" w:rsidRPr="00EE6588">
              <w:rPr>
                <w:b/>
                <w:sz w:val="28"/>
                <w:szCs w:val="28"/>
              </w:rPr>
              <w:t>края в</w:t>
            </w:r>
            <w:r w:rsidRPr="00EE6588">
              <w:rPr>
                <w:b/>
                <w:sz w:val="28"/>
                <w:szCs w:val="28"/>
              </w:rPr>
              <w:t xml:space="preserve"> действующей редакции</w:t>
            </w:r>
          </w:p>
        </w:tc>
        <w:tc>
          <w:tcPr>
            <w:tcW w:w="4679" w:type="dxa"/>
          </w:tcPr>
          <w:p w14:paraId="04C2598B" w14:textId="113A3462" w:rsidR="00AB3298" w:rsidRPr="00EE6588" w:rsidRDefault="00AB3298" w:rsidP="005E6B3A">
            <w:pPr>
              <w:spacing w:line="216" w:lineRule="auto"/>
              <w:ind w:firstLine="510"/>
              <w:jc w:val="center"/>
              <w:rPr>
                <w:b/>
                <w:sz w:val="28"/>
                <w:szCs w:val="28"/>
              </w:rPr>
            </w:pPr>
            <w:r w:rsidRPr="00EE6588">
              <w:rPr>
                <w:b/>
                <w:sz w:val="28"/>
                <w:szCs w:val="28"/>
              </w:rPr>
              <w:t xml:space="preserve">Текст решения Думы Изобильненского городского округа Ставропольского края в </w:t>
            </w:r>
            <w:r w:rsidR="004B659D" w:rsidRPr="00EE6588">
              <w:rPr>
                <w:b/>
                <w:sz w:val="28"/>
                <w:szCs w:val="28"/>
              </w:rPr>
              <w:t>новой редакции</w:t>
            </w:r>
          </w:p>
        </w:tc>
      </w:tr>
      <w:tr w:rsidR="00EE6588" w:rsidRPr="00EE6588" w14:paraId="500E0D8E" w14:textId="77777777" w:rsidTr="004B659D">
        <w:tc>
          <w:tcPr>
            <w:tcW w:w="10181" w:type="dxa"/>
            <w:gridSpan w:val="5"/>
            <w:tcBorders>
              <w:right w:val="single" w:sz="4" w:space="0" w:color="auto"/>
            </w:tcBorders>
          </w:tcPr>
          <w:p w14:paraId="520A8212" w14:textId="77777777" w:rsidR="004B659D" w:rsidRPr="004B659D" w:rsidRDefault="004B659D" w:rsidP="00EE6588">
            <w:pPr>
              <w:pStyle w:val="a6"/>
              <w:ind w:left="720" w:firstLine="0"/>
              <w:rPr>
                <w:b/>
                <w:bCs/>
                <w:sz w:val="20"/>
                <w:szCs w:val="20"/>
              </w:rPr>
            </w:pPr>
          </w:p>
          <w:p w14:paraId="10E3D0E4" w14:textId="00F85611" w:rsidR="00EE6588" w:rsidRPr="00EE6588" w:rsidRDefault="00EE6588" w:rsidP="004B659D">
            <w:pPr>
              <w:pStyle w:val="a6"/>
              <w:ind w:firstLine="0"/>
              <w:rPr>
                <w:b/>
                <w:bCs/>
              </w:rPr>
            </w:pPr>
            <w:r w:rsidRPr="00EE6588">
              <w:rPr>
                <w:b/>
                <w:bCs/>
              </w:rPr>
              <w:t xml:space="preserve">3. </w:t>
            </w:r>
            <w:bookmarkStart w:id="1" w:name="_Hlk68276254"/>
            <w:r w:rsidRPr="00EE6588">
              <w:rPr>
                <w:b/>
                <w:bCs/>
              </w:rPr>
              <w:t>Предельные нормативы расходования средств на представительские расходы</w:t>
            </w:r>
            <w:bookmarkEnd w:id="1"/>
          </w:p>
          <w:p w14:paraId="6AA4D1B5" w14:textId="77777777" w:rsidR="00EE6588" w:rsidRPr="00EE6588" w:rsidRDefault="00EE6588" w:rsidP="00EB1064">
            <w:pPr>
              <w:autoSpaceDE w:val="0"/>
              <w:autoSpaceDN w:val="0"/>
              <w:adjustRightInd w:val="0"/>
              <w:spacing w:line="240" w:lineRule="exact"/>
              <w:ind w:firstLine="539"/>
              <w:jc w:val="both"/>
              <w:rPr>
                <w:rFonts w:eastAsiaTheme="minorHAnsi"/>
                <w:sz w:val="28"/>
                <w:szCs w:val="28"/>
                <w:lang w:eastAsia="en-US"/>
              </w:rPr>
            </w:pPr>
          </w:p>
        </w:tc>
      </w:tr>
      <w:tr w:rsidR="00AB3298" w:rsidRPr="00EE6588" w14:paraId="28DAA742" w14:textId="77777777" w:rsidTr="004B659D">
        <w:trPr>
          <w:gridAfter w:val="1"/>
          <w:wAfter w:w="7" w:type="dxa"/>
        </w:trPr>
        <w:tc>
          <w:tcPr>
            <w:tcW w:w="666" w:type="dxa"/>
          </w:tcPr>
          <w:p w14:paraId="0D6CA884" w14:textId="77777777" w:rsidR="00AB3298" w:rsidRPr="00EE6588" w:rsidRDefault="00AB3298" w:rsidP="005E6B3A">
            <w:pPr>
              <w:rPr>
                <w:sz w:val="28"/>
                <w:szCs w:val="28"/>
              </w:rPr>
            </w:pPr>
            <w:r w:rsidRPr="00EE6588">
              <w:rPr>
                <w:sz w:val="28"/>
                <w:szCs w:val="28"/>
              </w:rPr>
              <w:t>1.</w:t>
            </w:r>
          </w:p>
        </w:tc>
        <w:tc>
          <w:tcPr>
            <w:tcW w:w="1143" w:type="dxa"/>
          </w:tcPr>
          <w:p w14:paraId="1C897FAF" w14:textId="48339D0D" w:rsidR="00AB3298" w:rsidRPr="00EE6588" w:rsidRDefault="00174E2B" w:rsidP="00EB1064">
            <w:pPr>
              <w:rPr>
                <w:sz w:val="28"/>
                <w:szCs w:val="28"/>
              </w:rPr>
            </w:pPr>
            <w:r w:rsidRPr="00EE6588">
              <w:rPr>
                <w:sz w:val="28"/>
                <w:szCs w:val="28"/>
              </w:rPr>
              <w:t xml:space="preserve"> </w:t>
            </w:r>
            <w:r w:rsidR="00EB1064" w:rsidRPr="00EE6588">
              <w:rPr>
                <w:sz w:val="28"/>
                <w:szCs w:val="28"/>
              </w:rPr>
              <w:t xml:space="preserve">пункт </w:t>
            </w:r>
            <w:r w:rsidR="00EE6588" w:rsidRPr="00EE6588">
              <w:rPr>
                <w:sz w:val="28"/>
                <w:szCs w:val="28"/>
              </w:rPr>
              <w:t>3.2</w:t>
            </w:r>
          </w:p>
        </w:tc>
        <w:tc>
          <w:tcPr>
            <w:tcW w:w="3686" w:type="dxa"/>
          </w:tcPr>
          <w:p w14:paraId="754A5B61" w14:textId="77777777" w:rsidR="00EE6588" w:rsidRPr="00EE6588" w:rsidRDefault="00EE6588" w:rsidP="00EE6588">
            <w:pPr>
              <w:ind w:firstLine="567"/>
              <w:jc w:val="both"/>
              <w:rPr>
                <w:bCs/>
                <w:sz w:val="28"/>
                <w:szCs w:val="28"/>
              </w:rPr>
            </w:pPr>
            <w:r w:rsidRPr="00EE6588">
              <w:rPr>
                <w:bCs/>
                <w:sz w:val="28"/>
                <w:szCs w:val="28"/>
              </w:rPr>
              <w:t xml:space="preserve">3.2. </w:t>
            </w:r>
            <w:r w:rsidRPr="00EE6588">
              <w:rPr>
                <w:bCs/>
                <w:sz w:val="28"/>
                <w:szCs w:val="28"/>
                <w:lang w:val="x-none"/>
              </w:rPr>
              <w:t xml:space="preserve">Расходы на буфетное обслуживание (кофе – брейк) на одного человека в сутки – до </w:t>
            </w:r>
            <w:r w:rsidRPr="00EE6588">
              <w:rPr>
                <w:bCs/>
                <w:sz w:val="28"/>
                <w:szCs w:val="28"/>
                <w:u w:val="single"/>
              </w:rPr>
              <w:t>3</w:t>
            </w:r>
            <w:r w:rsidRPr="00EE6588">
              <w:rPr>
                <w:bCs/>
                <w:sz w:val="28"/>
                <w:szCs w:val="28"/>
                <w:u w:val="single"/>
                <w:lang w:val="x-none"/>
              </w:rPr>
              <w:t>00</w:t>
            </w:r>
            <w:r w:rsidRPr="00EE6588">
              <w:rPr>
                <w:bCs/>
                <w:sz w:val="28"/>
                <w:szCs w:val="28"/>
                <w:lang w:val="x-none"/>
              </w:rPr>
              <w:t xml:space="preserve"> рублей.</w:t>
            </w:r>
          </w:p>
          <w:p w14:paraId="534FC1AE" w14:textId="77777777" w:rsidR="00AB3298" w:rsidRPr="00EE6588" w:rsidRDefault="00AB3298" w:rsidP="00EE6588">
            <w:pPr>
              <w:autoSpaceDE w:val="0"/>
              <w:autoSpaceDN w:val="0"/>
              <w:adjustRightInd w:val="0"/>
              <w:spacing w:line="240" w:lineRule="exact"/>
              <w:ind w:firstLine="539"/>
              <w:jc w:val="both"/>
              <w:rPr>
                <w:sz w:val="28"/>
                <w:szCs w:val="28"/>
              </w:rPr>
            </w:pPr>
          </w:p>
        </w:tc>
        <w:tc>
          <w:tcPr>
            <w:tcW w:w="4679" w:type="dxa"/>
            <w:tcBorders>
              <w:right w:val="single" w:sz="4" w:space="0" w:color="auto"/>
            </w:tcBorders>
          </w:tcPr>
          <w:p w14:paraId="40A083E9" w14:textId="4A8C070D" w:rsidR="00EE6588" w:rsidRPr="00EE6588" w:rsidRDefault="00EE6588" w:rsidP="00EE6588">
            <w:pPr>
              <w:ind w:firstLine="567"/>
              <w:jc w:val="both"/>
              <w:rPr>
                <w:bCs/>
                <w:sz w:val="28"/>
                <w:szCs w:val="28"/>
              </w:rPr>
            </w:pPr>
            <w:r w:rsidRPr="00EE6588">
              <w:rPr>
                <w:bCs/>
                <w:sz w:val="28"/>
                <w:szCs w:val="28"/>
              </w:rPr>
              <w:t xml:space="preserve">3.2. </w:t>
            </w:r>
            <w:r w:rsidRPr="00EE6588">
              <w:rPr>
                <w:bCs/>
                <w:sz w:val="28"/>
                <w:szCs w:val="28"/>
                <w:lang w:val="x-none"/>
              </w:rPr>
              <w:t xml:space="preserve">Расходы на буфетное обслуживание (кофе – брейк) на одного человека в сутки – до </w:t>
            </w:r>
            <w:r w:rsidRPr="00EE6588">
              <w:rPr>
                <w:b/>
                <w:sz w:val="28"/>
                <w:szCs w:val="28"/>
              </w:rPr>
              <w:t>500</w:t>
            </w:r>
            <w:r w:rsidRPr="00EE6588">
              <w:rPr>
                <w:bCs/>
                <w:sz w:val="28"/>
                <w:szCs w:val="28"/>
                <w:lang w:val="x-none"/>
              </w:rPr>
              <w:t xml:space="preserve"> рублей.</w:t>
            </w:r>
          </w:p>
          <w:p w14:paraId="234BAA8D" w14:textId="77777777" w:rsidR="00AB3298" w:rsidRPr="00EE6588" w:rsidRDefault="00AB3298" w:rsidP="00EE6588">
            <w:pPr>
              <w:autoSpaceDE w:val="0"/>
              <w:autoSpaceDN w:val="0"/>
              <w:adjustRightInd w:val="0"/>
              <w:spacing w:line="240" w:lineRule="exact"/>
              <w:ind w:firstLine="539"/>
              <w:jc w:val="both"/>
              <w:rPr>
                <w:b/>
                <w:sz w:val="28"/>
                <w:szCs w:val="28"/>
              </w:rPr>
            </w:pPr>
          </w:p>
        </w:tc>
      </w:tr>
      <w:tr w:rsidR="00AC6FBC" w:rsidRPr="00EE6588" w14:paraId="5D0A79A3" w14:textId="77777777" w:rsidTr="004B659D">
        <w:trPr>
          <w:gridAfter w:val="1"/>
          <w:wAfter w:w="7" w:type="dxa"/>
        </w:trPr>
        <w:tc>
          <w:tcPr>
            <w:tcW w:w="666" w:type="dxa"/>
          </w:tcPr>
          <w:p w14:paraId="674F661E" w14:textId="77777777" w:rsidR="00AC6FBC" w:rsidRPr="00EE6588" w:rsidRDefault="00FD606A" w:rsidP="005E6B3A">
            <w:pPr>
              <w:rPr>
                <w:sz w:val="28"/>
                <w:szCs w:val="28"/>
              </w:rPr>
            </w:pPr>
            <w:r w:rsidRPr="00EE6588">
              <w:rPr>
                <w:sz w:val="28"/>
                <w:szCs w:val="28"/>
              </w:rPr>
              <w:t>2.</w:t>
            </w:r>
          </w:p>
        </w:tc>
        <w:tc>
          <w:tcPr>
            <w:tcW w:w="1143" w:type="dxa"/>
          </w:tcPr>
          <w:p w14:paraId="6C0D7040" w14:textId="54604ECC" w:rsidR="00AC6FBC" w:rsidRPr="00EE6588" w:rsidRDefault="00EB1064" w:rsidP="00174E2B">
            <w:pPr>
              <w:rPr>
                <w:sz w:val="28"/>
                <w:szCs w:val="28"/>
              </w:rPr>
            </w:pPr>
            <w:r w:rsidRPr="00EE6588">
              <w:rPr>
                <w:sz w:val="28"/>
                <w:szCs w:val="28"/>
              </w:rPr>
              <w:t xml:space="preserve">пункт </w:t>
            </w:r>
            <w:r w:rsidR="00EE6588" w:rsidRPr="00EE6588">
              <w:rPr>
                <w:sz w:val="28"/>
                <w:szCs w:val="28"/>
              </w:rPr>
              <w:t>3.8.</w:t>
            </w:r>
          </w:p>
        </w:tc>
        <w:tc>
          <w:tcPr>
            <w:tcW w:w="3686" w:type="dxa"/>
          </w:tcPr>
          <w:p w14:paraId="5EA41A34" w14:textId="77777777" w:rsidR="00EE6588" w:rsidRPr="00EE6588" w:rsidRDefault="00EE6588" w:rsidP="00EE6588">
            <w:pPr>
              <w:ind w:firstLine="567"/>
              <w:jc w:val="both"/>
              <w:rPr>
                <w:bCs/>
                <w:sz w:val="28"/>
                <w:szCs w:val="28"/>
                <w:lang w:val="x-none"/>
              </w:rPr>
            </w:pPr>
            <w:r w:rsidRPr="00EE6588">
              <w:rPr>
                <w:bCs/>
                <w:sz w:val="28"/>
                <w:szCs w:val="28"/>
              </w:rPr>
              <w:t xml:space="preserve">3.8. </w:t>
            </w:r>
            <w:r w:rsidRPr="00EE6588">
              <w:rPr>
                <w:bCs/>
                <w:sz w:val="28"/>
                <w:szCs w:val="28"/>
                <w:lang w:val="x-none"/>
              </w:rPr>
              <w:t>Расходы на приобретение цветов, связанные с торжественным</w:t>
            </w:r>
            <w:r w:rsidRPr="00EE6588">
              <w:rPr>
                <w:bCs/>
                <w:sz w:val="28"/>
                <w:szCs w:val="28"/>
              </w:rPr>
              <w:t xml:space="preserve">и </w:t>
            </w:r>
            <w:r w:rsidRPr="00EE6588">
              <w:rPr>
                <w:bCs/>
                <w:sz w:val="28"/>
                <w:szCs w:val="28"/>
                <w:lang w:val="x-none"/>
              </w:rPr>
              <w:t xml:space="preserve">мероприятиями, на одного человека – до </w:t>
            </w:r>
            <w:r w:rsidRPr="00EE6588">
              <w:rPr>
                <w:bCs/>
                <w:sz w:val="28"/>
                <w:szCs w:val="28"/>
                <w:u w:val="single"/>
                <w:lang w:val="x-none"/>
              </w:rPr>
              <w:t>1</w:t>
            </w:r>
            <w:r w:rsidRPr="00EE6588">
              <w:rPr>
                <w:bCs/>
                <w:sz w:val="28"/>
                <w:szCs w:val="28"/>
                <w:u w:val="single"/>
              </w:rPr>
              <w:t>5</w:t>
            </w:r>
            <w:r w:rsidRPr="00EE6588">
              <w:rPr>
                <w:bCs/>
                <w:sz w:val="28"/>
                <w:szCs w:val="28"/>
                <w:u w:val="single"/>
                <w:lang w:val="x-none"/>
              </w:rPr>
              <w:t>00</w:t>
            </w:r>
            <w:r w:rsidRPr="00EE6588">
              <w:rPr>
                <w:bCs/>
                <w:sz w:val="28"/>
                <w:szCs w:val="28"/>
                <w:lang w:val="x-none"/>
              </w:rPr>
              <w:t xml:space="preserve"> рублей.</w:t>
            </w:r>
          </w:p>
          <w:p w14:paraId="61CC7BC0" w14:textId="77777777" w:rsidR="00AC6FBC" w:rsidRPr="00EE6588" w:rsidRDefault="00AC6FBC" w:rsidP="003330D9">
            <w:pPr>
              <w:autoSpaceDE w:val="0"/>
              <w:autoSpaceDN w:val="0"/>
              <w:adjustRightInd w:val="0"/>
              <w:spacing w:line="240" w:lineRule="exact"/>
              <w:ind w:firstLine="360"/>
              <w:jc w:val="both"/>
              <w:rPr>
                <w:rFonts w:eastAsiaTheme="minorHAnsi"/>
                <w:sz w:val="28"/>
                <w:szCs w:val="28"/>
                <w:lang w:val="x-none" w:eastAsia="en-US"/>
              </w:rPr>
            </w:pPr>
          </w:p>
        </w:tc>
        <w:tc>
          <w:tcPr>
            <w:tcW w:w="4679" w:type="dxa"/>
            <w:tcBorders>
              <w:right w:val="single" w:sz="4" w:space="0" w:color="auto"/>
            </w:tcBorders>
          </w:tcPr>
          <w:p w14:paraId="07F2690C" w14:textId="3BAB7241" w:rsidR="00EE6588" w:rsidRPr="00EE6588" w:rsidRDefault="00EE6588" w:rsidP="00EE6588">
            <w:pPr>
              <w:ind w:firstLine="567"/>
              <w:jc w:val="both"/>
              <w:rPr>
                <w:bCs/>
                <w:sz w:val="28"/>
                <w:szCs w:val="28"/>
                <w:lang w:val="x-none"/>
              </w:rPr>
            </w:pPr>
            <w:r w:rsidRPr="00EE6588">
              <w:rPr>
                <w:bCs/>
                <w:sz w:val="28"/>
                <w:szCs w:val="28"/>
              </w:rPr>
              <w:t xml:space="preserve">3.8. </w:t>
            </w:r>
            <w:r w:rsidRPr="00EE6588">
              <w:rPr>
                <w:bCs/>
                <w:sz w:val="28"/>
                <w:szCs w:val="28"/>
                <w:lang w:val="x-none"/>
              </w:rPr>
              <w:t>Расходы на приобретение цветов, связанные с торжественным</w:t>
            </w:r>
            <w:r w:rsidRPr="00EE6588">
              <w:rPr>
                <w:bCs/>
                <w:sz w:val="28"/>
                <w:szCs w:val="28"/>
              </w:rPr>
              <w:t xml:space="preserve">и </w:t>
            </w:r>
            <w:r w:rsidRPr="00EE6588">
              <w:rPr>
                <w:bCs/>
                <w:sz w:val="28"/>
                <w:szCs w:val="28"/>
                <w:lang w:val="x-none"/>
              </w:rPr>
              <w:t xml:space="preserve">мероприятиями, на одного человека – до </w:t>
            </w:r>
            <w:r w:rsidRPr="00EE6588">
              <w:rPr>
                <w:b/>
                <w:sz w:val="28"/>
                <w:szCs w:val="28"/>
              </w:rPr>
              <w:t>2800</w:t>
            </w:r>
            <w:r w:rsidRPr="00EE6588">
              <w:rPr>
                <w:bCs/>
                <w:sz w:val="28"/>
                <w:szCs w:val="28"/>
                <w:lang w:val="x-none"/>
              </w:rPr>
              <w:t xml:space="preserve"> рублей.</w:t>
            </w:r>
          </w:p>
          <w:p w14:paraId="026AFA21" w14:textId="77777777" w:rsidR="00AC6FBC" w:rsidRPr="00EE6588" w:rsidRDefault="00AC6FBC" w:rsidP="003330D9">
            <w:pPr>
              <w:autoSpaceDE w:val="0"/>
              <w:autoSpaceDN w:val="0"/>
              <w:adjustRightInd w:val="0"/>
              <w:spacing w:line="240" w:lineRule="exact"/>
              <w:jc w:val="both"/>
              <w:rPr>
                <w:rFonts w:eastAsiaTheme="minorHAnsi"/>
                <w:sz w:val="28"/>
                <w:szCs w:val="28"/>
                <w:lang w:val="x-none" w:eastAsia="en-US"/>
              </w:rPr>
            </w:pPr>
          </w:p>
        </w:tc>
      </w:tr>
    </w:tbl>
    <w:p w14:paraId="1C4D9B1E" w14:textId="77777777" w:rsidR="00E03EE1" w:rsidRDefault="008F6A20" w:rsidP="004B659D"/>
    <w:sectPr w:rsidR="00E03EE1" w:rsidSect="00EE6588">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91"/>
    <w:rsid w:val="000F3E30"/>
    <w:rsid w:val="001113FE"/>
    <w:rsid w:val="00135F9D"/>
    <w:rsid w:val="00174E2B"/>
    <w:rsid w:val="00207F07"/>
    <w:rsid w:val="002B4997"/>
    <w:rsid w:val="002B73D4"/>
    <w:rsid w:val="00325892"/>
    <w:rsid w:val="003330D9"/>
    <w:rsid w:val="0038586E"/>
    <w:rsid w:val="00475667"/>
    <w:rsid w:val="004B659D"/>
    <w:rsid w:val="005B3D1B"/>
    <w:rsid w:val="00634BA9"/>
    <w:rsid w:val="00875C16"/>
    <w:rsid w:val="008F6A20"/>
    <w:rsid w:val="00940022"/>
    <w:rsid w:val="009A6460"/>
    <w:rsid w:val="009F3564"/>
    <w:rsid w:val="00A02C91"/>
    <w:rsid w:val="00A03807"/>
    <w:rsid w:val="00AB3298"/>
    <w:rsid w:val="00AC6FBC"/>
    <w:rsid w:val="00CC640C"/>
    <w:rsid w:val="00DD78F0"/>
    <w:rsid w:val="00DE2748"/>
    <w:rsid w:val="00E6189B"/>
    <w:rsid w:val="00EB1064"/>
    <w:rsid w:val="00EE6588"/>
    <w:rsid w:val="00FD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0E80"/>
  <w15:docId w15:val="{F616F405-C214-489D-9D80-1C830D9A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618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E6189B"/>
    <w:pPr>
      <w:spacing w:before="100" w:beforeAutospacing="1" w:after="100" w:afterAutospacing="1"/>
    </w:pPr>
  </w:style>
  <w:style w:type="paragraph" w:customStyle="1" w:styleId="ConsPlusNormal">
    <w:name w:val="ConsPlusNormal"/>
    <w:rsid w:val="00E618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9F3564"/>
    <w:rPr>
      <w:rFonts w:ascii="Tahoma" w:hAnsi="Tahoma" w:cs="Tahoma"/>
      <w:sz w:val="16"/>
      <w:szCs w:val="16"/>
    </w:rPr>
  </w:style>
  <w:style w:type="character" w:customStyle="1" w:styleId="a5">
    <w:name w:val="Текст выноски Знак"/>
    <w:basedOn w:val="a0"/>
    <w:link w:val="a4"/>
    <w:uiPriority w:val="99"/>
    <w:semiHidden/>
    <w:rsid w:val="009F3564"/>
    <w:rPr>
      <w:rFonts w:ascii="Tahoma" w:eastAsia="Times New Roman" w:hAnsi="Tahoma" w:cs="Tahoma"/>
      <w:sz w:val="16"/>
      <w:szCs w:val="16"/>
      <w:lang w:eastAsia="ru-RU"/>
    </w:rPr>
  </w:style>
  <w:style w:type="paragraph" w:customStyle="1" w:styleId="a6">
    <w:basedOn w:val="a"/>
    <w:next w:val="a7"/>
    <w:link w:val="a8"/>
    <w:qFormat/>
    <w:rsid w:val="00EE6588"/>
    <w:pPr>
      <w:ind w:firstLine="360"/>
      <w:jc w:val="center"/>
    </w:pPr>
    <w:rPr>
      <w:sz w:val="28"/>
      <w:szCs w:val="28"/>
    </w:rPr>
  </w:style>
  <w:style w:type="character" w:customStyle="1" w:styleId="a8">
    <w:name w:val="Название Знак"/>
    <w:link w:val="a6"/>
    <w:rsid w:val="00EE6588"/>
    <w:rPr>
      <w:rFonts w:ascii="Times New Roman" w:eastAsia="Times New Roman" w:hAnsi="Times New Roman" w:cs="Times New Roman"/>
      <w:sz w:val="28"/>
      <w:szCs w:val="28"/>
      <w:lang w:eastAsia="ru-RU"/>
    </w:rPr>
  </w:style>
  <w:style w:type="paragraph" w:styleId="a7">
    <w:name w:val="Title"/>
    <w:basedOn w:val="a"/>
    <w:next w:val="a"/>
    <w:link w:val="a9"/>
    <w:uiPriority w:val="10"/>
    <w:qFormat/>
    <w:rsid w:val="00EE6588"/>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EE658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cp:lastPrinted>2021-06-08T05:45:00Z</cp:lastPrinted>
  <dcterms:created xsi:type="dcterms:W3CDTF">2021-05-25T07:36:00Z</dcterms:created>
  <dcterms:modified xsi:type="dcterms:W3CDTF">2021-06-08T05:45:00Z</dcterms:modified>
</cp:coreProperties>
</file>