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892A" w14:textId="49619E85" w:rsidR="00F95A4E" w:rsidRP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b/>
          <w:bCs/>
          <w:sz w:val="28"/>
          <w:szCs w:val="28"/>
        </w:rPr>
      </w:pPr>
      <w:r w:rsidRPr="00F95A4E">
        <w:rPr>
          <w:b/>
          <w:bCs/>
          <w:sz w:val="28"/>
          <w:szCs w:val="28"/>
        </w:rPr>
        <w:t xml:space="preserve">Сравнительная таблица </w:t>
      </w:r>
    </w:p>
    <w:p w14:paraId="28DD420C" w14:textId="473F4352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r w:rsidRPr="00763316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председателя Думы</w:t>
      </w:r>
      <w:r w:rsidRPr="00BD07FE">
        <w:rPr>
          <w:sz w:val="28"/>
          <w:szCs w:val="28"/>
        </w:rPr>
        <w:t xml:space="preserve"> Изобильненского городского округа Ставропольского края «</w:t>
      </w:r>
      <w:r w:rsidRPr="00C57BA0">
        <w:rPr>
          <w:color w:val="000000"/>
          <w:sz w:val="28"/>
          <w:szCs w:val="28"/>
        </w:rPr>
        <w:t xml:space="preserve">О внесении изменений в подпункт 9 пункта 4.2. Положения о кадровом резерве для замещения вакантных должностей муниципальной службы в Думе Изобильненского городского округа </w:t>
      </w:r>
    </w:p>
    <w:p w14:paraId="4B3B7D82" w14:textId="77777777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r w:rsidRPr="00C57BA0">
        <w:rPr>
          <w:color w:val="000000"/>
          <w:sz w:val="28"/>
          <w:szCs w:val="28"/>
        </w:rPr>
        <w:t>Ставропольского края, утвержденное постановления председателя</w:t>
      </w:r>
    </w:p>
    <w:p w14:paraId="444AB214" w14:textId="77777777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color w:val="000000"/>
          <w:sz w:val="28"/>
          <w:szCs w:val="28"/>
        </w:rPr>
      </w:pPr>
      <w:r w:rsidRPr="00C57BA0">
        <w:rPr>
          <w:color w:val="000000"/>
          <w:sz w:val="28"/>
          <w:szCs w:val="28"/>
        </w:rPr>
        <w:t xml:space="preserve"> Думы Изобильненского</w:t>
      </w:r>
      <w:r>
        <w:rPr>
          <w:color w:val="000000"/>
          <w:sz w:val="28"/>
          <w:szCs w:val="28"/>
        </w:rPr>
        <w:t xml:space="preserve"> </w:t>
      </w:r>
      <w:r w:rsidRPr="00C57BA0">
        <w:rPr>
          <w:color w:val="000000"/>
          <w:sz w:val="28"/>
          <w:szCs w:val="28"/>
        </w:rPr>
        <w:t>городского округа Ставропольского края</w:t>
      </w:r>
    </w:p>
    <w:p w14:paraId="009E788B" w14:textId="410B399F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  <w:r w:rsidRPr="00C57BA0">
        <w:rPr>
          <w:color w:val="000000"/>
          <w:sz w:val="28"/>
          <w:szCs w:val="28"/>
        </w:rPr>
        <w:t xml:space="preserve"> от 14 июня 2018 года№20</w:t>
      </w:r>
      <w:r>
        <w:rPr>
          <w:sz w:val="28"/>
          <w:szCs w:val="28"/>
        </w:rPr>
        <w:t>»</w:t>
      </w:r>
    </w:p>
    <w:p w14:paraId="66AE526A" w14:textId="489C9B8D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9913" w:type="dxa"/>
        <w:tblInd w:w="-431" w:type="dxa"/>
        <w:tblLook w:val="04A0" w:firstRow="1" w:lastRow="0" w:firstColumn="1" w:lastColumn="0" w:noHBand="0" w:noVBand="1"/>
      </w:tblPr>
      <w:tblGrid>
        <w:gridCol w:w="1980"/>
        <w:gridCol w:w="3691"/>
        <w:gridCol w:w="4242"/>
      </w:tblGrid>
      <w:tr w:rsidR="00F95A4E" w:rsidRPr="00F95A4E" w14:paraId="2C7FFCE4" w14:textId="77777777" w:rsidTr="00F95A4E">
        <w:tc>
          <w:tcPr>
            <w:tcW w:w="1980" w:type="dxa"/>
          </w:tcPr>
          <w:p w14:paraId="21141879" w14:textId="777B5AA5" w:rsidR="00F95A4E" w:rsidRPr="00F95A4E" w:rsidRDefault="00F95A4E" w:rsidP="00F95A4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F95A4E">
              <w:rPr>
                <w:b/>
                <w:bCs/>
                <w:sz w:val="28"/>
                <w:szCs w:val="28"/>
              </w:rPr>
              <w:t>Структурная единица</w:t>
            </w:r>
          </w:p>
        </w:tc>
        <w:tc>
          <w:tcPr>
            <w:tcW w:w="3691" w:type="dxa"/>
          </w:tcPr>
          <w:p w14:paraId="1AFB90F5" w14:textId="0328B493" w:rsidR="00F95A4E" w:rsidRPr="00F95A4E" w:rsidRDefault="00F95A4E" w:rsidP="00F95A4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F95A4E">
              <w:rPr>
                <w:b/>
                <w:bCs/>
                <w:sz w:val="28"/>
                <w:szCs w:val="28"/>
              </w:rPr>
              <w:t xml:space="preserve">Тест в действующей редакции </w:t>
            </w:r>
          </w:p>
        </w:tc>
        <w:tc>
          <w:tcPr>
            <w:tcW w:w="4242" w:type="dxa"/>
          </w:tcPr>
          <w:p w14:paraId="3FF4C6EB" w14:textId="5D367A96" w:rsidR="00F95A4E" w:rsidRPr="00F95A4E" w:rsidRDefault="00F95A4E" w:rsidP="00F95A4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F95A4E">
              <w:rPr>
                <w:b/>
                <w:bCs/>
                <w:sz w:val="28"/>
                <w:szCs w:val="28"/>
              </w:rPr>
              <w:t xml:space="preserve">Тест в </w:t>
            </w:r>
            <w:r w:rsidRPr="00F95A4E">
              <w:rPr>
                <w:b/>
                <w:bCs/>
                <w:sz w:val="28"/>
                <w:szCs w:val="28"/>
              </w:rPr>
              <w:t xml:space="preserve">предлагаемой </w:t>
            </w:r>
            <w:r w:rsidRPr="00F95A4E">
              <w:rPr>
                <w:b/>
                <w:bCs/>
                <w:sz w:val="28"/>
                <w:szCs w:val="28"/>
              </w:rPr>
              <w:t>редакции</w:t>
            </w:r>
          </w:p>
        </w:tc>
      </w:tr>
      <w:tr w:rsidR="00F95A4E" w14:paraId="38C84F58" w14:textId="77777777" w:rsidTr="00F95A4E">
        <w:tc>
          <w:tcPr>
            <w:tcW w:w="1980" w:type="dxa"/>
          </w:tcPr>
          <w:p w14:paraId="4515704C" w14:textId="0B9C0C50" w:rsidR="00F95A4E" w:rsidRDefault="00F95A4E" w:rsidP="00F95A4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95A4E">
              <w:rPr>
                <w:sz w:val="28"/>
                <w:szCs w:val="28"/>
              </w:rPr>
              <w:t>подпункт 9 пункта 4.2. Положения о кадровом резерве</w:t>
            </w:r>
          </w:p>
        </w:tc>
        <w:tc>
          <w:tcPr>
            <w:tcW w:w="3691" w:type="dxa"/>
          </w:tcPr>
          <w:p w14:paraId="4F892C19" w14:textId="7E60403A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5A4E">
              <w:rPr>
                <w:sz w:val="28"/>
                <w:szCs w:val="28"/>
              </w:rPr>
              <w:t>4.2. Основаниями исключения гражданина из кадрового резерва являются:</w:t>
            </w:r>
          </w:p>
          <w:p w14:paraId="4D8CF53E" w14:textId="1B7FAF5A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  <w:p w14:paraId="5C6DA614" w14:textId="77777777" w:rsidR="00F95A4E" w:rsidRPr="00886E85" w:rsidRDefault="00F95A4E" w:rsidP="00F95A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85">
              <w:rPr>
                <w:rFonts w:ascii="Times New Roman" w:hAnsi="Times New Roman" w:cs="Times New Roman"/>
                <w:sz w:val="28"/>
                <w:szCs w:val="28"/>
              </w:rPr>
              <w:t>9) выход гражданина из гражданства Российской Федерации или прио</w:t>
            </w:r>
            <w:r w:rsidRPr="00886E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6E85">
              <w:rPr>
                <w:rFonts w:ascii="Times New Roman" w:hAnsi="Times New Roman" w:cs="Times New Roman"/>
                <w:sz w:val="28"/>
                <w:szCs w:val="28"/>
              </w:rPr>
              <w:t>ретение гражданства другого государства, если иное не предусмотрено ме</w:t>
            </w:r>
            <w:r w:rsidRPr="00886E8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86E85">
              <w:rPr>
                <w:rFonts w:ascii="Times New Roman" w:hAnsi="Times New Roman" w:cs="Times New Roman"/>
                <w:sz w:val="28"/>
                <w:szCs w:val="28"/>
              </w:rPr>
              <w:t>дународным договором Российской Федерации;</w:t>
            </w:r>
          </w:p>
          <w:p w14:paraId="6281F9A9" w14:textId="2D5FCEB1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14:paraId="5C0A303B" w14:textId="77777777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95A4E">
              <w:rPr>
                <w:sz w:val="28"/>
                <w:szCs w:val="28"/>
              </w:rPr>
              <w:t>4.2. Основаниями исключения гражданина из кадрового резерва являются:</w:t>
            </w:r>
          </w:p>
          <w:p w14:paraId="1CC84EBF" w14:textId="77777777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  <w:p w14:paraId="2F53B15F" w14:textId="206FA729" w:rsidR="00F95A4E" w:rsidRDefault="00F95A4E" w:rsidP="00F95A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D43EB">
              <w:rPr>
                <w:sz w:val="28"/>
                <w:szCs w:val="28"/>
              </w:rPr>
              <w:t>9</w:t>
            </w:r>
            <w:r w:rsidRPr="00470463">
              <w:rPr>
                <w:sz w:val="28"/>
                <w:szCs w:val="28"/>
              </w:rPr>
              <w:t>) прекращени</w:t>
            </w:r>
            <w:r w:rsidRPr="006D43EB">
              <w:rPr>
                <w:sz w:val="28"/>
                <w:szCs w:val="28"/>
              </w:rPr>
              <w:t>е</w:t>
            </w:r>
            <w:r w:rsidRPr="00470463">
              <w:rPr>
                <w:sz w:val="28"/>
                <w:szCs w:val="28"/>
              </w:rPr>
              <w:t xml:space="preserve">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      </w:r>
            <w:r w:rsidRPr="006D43EB">
              <w:rPr>
                <w:sz w:val="28"/>
                <w:szCs w:val="28"/>
              </w:rPr>
              <w:t xml:space="preserve">, приобретение </w:t>
            </w:r>
            <w:r w:rsidRPr="00470463">
              <w:rPr>
                <w:sz w:val="28"/>
                <w:szCs w:val="28"/>
              </w:rPr>
      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      </w:r>
          </w:p>
        </w:tc>
      </w:tr>
    </w:tbl>
    <w:p w14:paraId="3B085168" w14:textId="77777777" w:rsidR="00F95A4E" w:rsidRDefault="00F95A4E" w:rsidP="00F95A4E">
      <w:pPr>
        <w:widowControl w:val="0"/>
        <w:autoSpaceDE w:val="0"/>
        <w:autoSpaceDN w:val="0"/>
        <w:spacing w:line="192" w:lineRule="auto"/>
        <w:jc w:val="center"/>
        <w:rPr>
          <w:sz w:val="28"/>
          <w:szCs w:val="28"/>
        </w:rPr>
      </w:pPr>
    </w:p>
    <w:p w14:paraId="16B2715E" w14:textId="77777777" w:rsidR="00F95A4E" w:rsidRDefault="00F95A4E"/>
    <w:sectPr w:rsidR="00F9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4E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1E16"/>
  <w15:chartTrackingRefBased/>
  <w15:docId w15:val="{7CE262C7-0733-4B97-8C2B-BFE475D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2022-07-27T11:46:00Z</dcterms:created>
  <dcterms:modified xsi:type="dcterms:W3CDTF">2022-07-27T11:50:00Z</dcterms:modified>
</cp:coreProperties>
</file>