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0A2EBE" w:rsidRDefault="00372A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6807" w:rsidRPr="001304D5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1304D5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1304D5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1304D5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AF6AE9" w:rsidRPr="001304D5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304D5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F6AE9" w:rsidRPr="001304D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304D5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AF6AE9" w:rsidRPr="001304D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1304D5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1304D5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A2" w:rsidRPr="001304D5" w:rsidRDefault="00946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9"/>
        <w:gridCol w:w="6586"/>
        <w:gridCol w:w="6662"/>
      </w:tblGrid>
      <w:tr w:rsidR="001304D5" w:rsidRPr="001304D5" w:rsidTr="00ED4E09">
        <w:trPr>
          <w:trHeight w:val="1536"/>
        </w:trPr>
        <w:tc>
          <w:tcPr>
            <w:tcW w:w="568" w:type="dxa"/>
            <w:vAlign w:val="center"/>
          </w:tcPr>
          <w:p w:rsidR="00E16807" w:rsidRPr="001304D5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1304D5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9" w:type="dxa"/>
            <w:vAlign w:val="center"/>
          </w:tcPr>
          <w:p w:rsidR="00E16807" w:rsidRPr="001304D5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Пункт реш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86" w:type="dxa"/>
            <w:vAlign w:val="center"/>
          </w:tcPr>
          <w:p w:rsidR="00E16807" w:rsidRPr="001304D5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 w:rsidR="00AF6AE9"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 202</w:t>
            </w:r>
            <w:r w:rsidR="00AF6AE9"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1304D5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AF6AE9"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1304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1304D5" w:rsidRPr="001304D5" w:rsidTr="00ED4E09">
        <w:trPr>
          <w:trHeight w:val="315"/>
        </w:trPr>
        <w:tc>
          <w:tcPr>
            <w:tcW w:w="568" w:type="dxa"/>
            <w:vAlign w:val="bottom"/>
          </w:tcPr>
          <w:p w:rsidR="00E16807" w:rsidRPr="001304D5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1304D5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6" w:type="dxa"/>
            <w:vAlign w:val="bottom"/>
          </w:tcPr>
          <w:p w:rsidR="00E16807" w:rsidRPr="001304D5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1304D5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304D5" w:rsidRPr="001304D5" w:rsidTr="00ED4E09">
        <w:trPr>
          <w:trHeight w:val="1281"/>
        </w:trPr>
        <w:tc>
          <w:tcPr>
            <w:tcW w:w="568" w:type="dxa"/>
          </w:tcPr>
          <w:p w:rsidR="000A2EBE" w:rsidRPr="001304D5" w:rsidRDefault="000A2EBE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0A2EBE" w:rsidRPr="001304D5" w:rsidRDefault="000A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586" w:type="dxa"/>
          </w:tcPr>
          <w:p w:rsidR="000A2EBE" w:rsidRPr="001304D5" w:rsidRDefault="000A2EBE" w:rsidP="0007573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3 214 445 432,07</w:t>
            </w:r>
            <w:r w:rsidRPr="001304D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2 623 251 309,21 рублей, на 2024 год в сумме 2 594 762 074,12 рублей;</w:t>
            </w:r>
          </w:p>
        </w:tc>
        <w:tc>
          <w:tcPr>
            <w:tcW w:w="6662" w:type="dxa"/>
          </w:tcPr>
          <w:p w:rsidR="000A2EBE" w:rsidRPr="001304D5" w:rsidRDefault="000A2EBE" w:rsidP="0067439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67439B"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3 302 137 470,39</w:t>
            </w:r>
            <w:r w:rsidRPr="001304D5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2 623 251 309,21 рублей, на 2024 год в сумме 2 594 762 074,12 рублей;</w:t>
            </w:r>
          </w:p>
        </w:tc>
      </w:tr>
      <w:tr w:rsidR="001304D5" w:rsidRPr="001304D5" w:rsidTr="00ED4E09">
        <w:trPr>
          <w:trHeight w:val="2122"/>
        </w:trPr>
        <w:tc>
          <w:tcPr>
            <w:tcW w:w="568" w:type="dxa"/>
          </w:tcPr>
          <w:p w:rsidR="000A2EBE" w:rsidRPr="001304D5" w:rsidRDefault="000A2EBE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0A2EBE" w:rsidRPr="001304D5" w:rsidRDefault="000A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586" w:type="dxa"/>
          </w:tcPr>
          <w:p w:rsidR="000A2EBE" w:rsidRPr="001304D5" w:rsidRDefault="000A2EBE" w:rsidP="0007573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3 398 250 935,43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,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2 629 009 303,83 рублей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  <w:tc>
          <w:tcPr>
            <w:tcW w:w="6662" w:type="dxa"/>
          </w:tcPr>
          <w:p w:rsidR="000A2EBE" w:rsidRPr="001304D5" w:rsidRDefault="000A2EBE" w:rsidP="0067439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="0067439B"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3 485 942 973,75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,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2 629 009 303,83 рублей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</w:tr>
      <w:tr w:rsidR="001304D5" w:rsidRPr="001304D5" w:rsidTr="00ED4E09">
        <w:trPr>
          <w:trHeight w:val="1816"/>
        </w:trPr>
        <w:tc>
          <w:tcPr>
            <w:tcW w:w="568" w:type="dxa"/>
          </w:tcPr>
          <w:p w:rsidR="000A2EBE" w:rsidRPr="001304D5" w:rsidRDefault="0067439B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0A2EBE" w:rsidRPr="001304D5" w:rsidRDefault="000A2EBE" w:rsidP="00AF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п.3.1. ч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сти 3</w:t>
            </w:r>
          </w:p>
        </w:tc>
        <w:tc>
          <w:tcPr>
            <w:tcW w:w="6586" w:type="dxa"/>
          </w:tcPr>
          <w:p w:rsidR="000A2EBE" w:rsidRPr="001304D5" w:rsidRDefault="000A2EBE" w:rsidP="000757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2 535 279 030,78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су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м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ме 1 931 733 208,75 рублей, на 2024 год в сумме 1 880 515 613,66 рублей.</w:t>
            </w:r>
          </w:p>
        </w:tc>
        <w:tc>
          <w:tcPr>
            <w:tcW w:w="6662" w:type="dxa"/>
          </w:tcPr>
          <w:p w:rsidR="000A2EBE" w:rsidRPr="001304D5" w:rsidRDefault="000A2EBE" w:rsidP="006743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="0067439B" w:rsidRPr="001304D5">
              <w:rPr>
                <w:rFonts w:ascii="Times New Roman" w:hAnsi="Times New Roman"/>
                <w:b/>
                <w:sz w:val="28"/>
                <w:szCs w:val="28"/>
              </w:rPr>
              <w:t>2 601 203 504,88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1 931 733 208,75 рублей, на 2024 год в сумме 1 880 515 613,66 рублей.</w:t>
            </w:r>
          </w:p>
        </w:tc>
      </w:tr>
      <w:tr w:rsidR="001304D5" w:rsidRPr="001304D5" w:rsidTr="00965152">
        <w:trPr>
          <w:trHeight w:val="1718"/>
        </w:trPr>
        <w:tc>
          <w:tcPr>
            <w:tcW w:w="568" w:type="dxa"/>
          </w:tcPr>
          <w:p w:rsidR="00CF2624" w:rsidRPr="001304D5" w:rsidRDefault="0067439B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19" w:type="dxa"/>
          </w:tcPr>
          <w:p w:rsidR="00CF2624" w:rsidRPr="001304D5" w:rsidRDefault="00CF2624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п.4.4. ч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CF2624" w:rsidRPr="001304D5" w:rsidRDefault="00CF2624" w:rsidP="00131EC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г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 xml:space="preserve">636 566 091,10 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  <w:tc>
          <w:tcPr>
            <w:tcW w:w="6662" w:type="dxa"/>
          </w:tcPr>
          <w:p w:rsidR="00CF2624" w:rsidRPr="001304D5" w:rsidRDefault="00CF2624" w:rsidP="005C2BFE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г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="005C2BFE" w:rsidRPr="001304D5">
              <w:rPr>
                <w:rFonts w:ascii="Times New Roman" w:hAnsi="Times New Roman"/>
                <w:b/>
                <w:sz w:val="28"/>
                <w:szCs w:val="28"/>
              </w:rPr>
              <w:t>645 686 702,39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</w:tr>
      <w:tr w:rsidR="001304D5" w:rsidRPr="001304D5" w:rsidTr="00965152">
        <w:trPr>
          <w:trHeight w:val="1718"/>
        </w:trPr>
        <w:tc>
          <w:tcPr>
            <w:tcW w:w="568" w:type="dxa"/>
          </w:tcPr>
          <w:p w:rsidR="00372AF1" w:rsidRPr="001304D5" w:rsidRDefault="0067439B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</w:tcPr>
          <w:p w:rsidR="00372AF1" w:rsidRPr="001304D5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п.4.5. ч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372AF1" w:rsidRPr="001304D5" w:rsidRDefault="000A2EBE" w:rsidP="0096515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 xml:space="preserve">4.5. Утвердить объем бюджетных ассигнований дорожного фонда Изобильненского городского округа Ставропольского края на 2022 год в сумме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441 079 428,13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100 419 592,44 рублей и на 2024 год в сумме 35 576 840,00 рублей.</w:t>
            </w:r>
          </w:p>
        </w:tc>
        <w:tc>
          <w:tcPr>
            <w:tcW w:w="6662" w:type="dxa"/>
          </w:tcPr>
          <w:p w:rsidR="00372AF1" w:rsidRPr="001304D5" w:rsidRDefault="00965152" w:rsidP="005C2BFE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4.5. Утвердить объем бюджетных ассигнований дорожного фонда Изобильненского городского окр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2022 год в сумме </w:t>
            </w:r>
            <w:r w:rsidR="005C2BFE" w:rsidRPr="001304D5">
              <w:rPr>
                <w:rFonts w:ascii="Times New Roman" w:hAnsi="Times New Roman"/>
                <w:b/>
                <w:sz w:val="28"/>
                <w:szCs w:val="28"/>
              </w:rPr>
              <w:t>453 882 813,30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="00597D59" w:rsidRPr="001304D5">
              <w:rPr>
                <w:rFonts w:ascii="Times New Roman" w:hAnsi="Times New Roman"/>
                <w:sz w:val="28"/>
                <w:szCs w:val="28"/>
              </w:rPr>
              <w:t>100 419 592,44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35 576 840,00 рублей.</w:t>
            </w:r>
          </w:p>
        </w:tc>
      </w:tr>
      <w:tr w:rsidR="001304D5" w:rsidRPr="001304D5" w:rsidTr="00965152">
        <w:trPr>
          <w:trHeight w:val="1718"/>
        </w:trPr>
        <w:tc>
          <w:tcPr>
            <w:tcW w:w="568" w:type="dxa"/>
          </w:tcPr>
          <w:p w:rsidR="0021164A" w:rsidRPr="001304D5" w:rsidRDefault="0067439B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9" w:type="dxa"/>
          </w:tcPr>
          <w:p w:rsidR="0021164A" w:rsidRPr="001304D5" w:rsidRDefault="0021164A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п.4.6. ч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21164A" w:rsidRPr="001304D5" w:rsidRDefault="0021164A" w:rsidP="00131EC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польского края (далее – резервный фонд администр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ции городского округа) на 2022 год в сумме </w:t>
            </w:r>
            <w:r w:rsidRPr="001304D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12 754 669,28 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рублей,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на 2023 год в сумме 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6662" w:type="dxa"/>
          </w:tcPr>
          <w:p w:rsidR="0021164A" w:rsidRPr="001304D5" w:rsidRDefault="0021164A" w:rsidP="005C2BFE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польского края (далее – резервный фонд администр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ции городского округа) на 2022 год в сумме </w:t>
            </w:r>
            <w:r w:rsidR="005C2BFE" w:rsidRPr="001304D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17 482 335,28</w:t>
            </w:r>
            <w:r w:rsidRPr="001304D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рублей,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на 2023 год в сумме 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</w:t>
            </w:r>
            <w:r w:rsidRPr="001304D5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1304D5" w:rsidRPr="001304D5" w:rsidTr="0021164A">
        <w:trPr>
          <w:trHeight w:val="583"/>
        </w:trPr>
        <w:tc>
          <w:tcPr>
            <w:tcW w:w="568" w:type="dxa"/>
          </w:tcPr>
          <w:p w:rsidR="0021164A" w:rsidRPr="001304D5" w:rsidRDefault="0067439B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9" w:type="dxa"/>
          </w:tcPr>
          <w:p w:rsidR="0021164A" w:rsidRPr="001304D5" w:rsidRDefault="0021164A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п.5.1. части 5</w:t>
            </w:r>
          </w:p>
        </w:tc>
        <w:tc>
          <w:tcPr>
            <w:tcW w:w="6586" w:type="dxa"/>
          </w:tcPr>
          <w:p w:rsidR="0021164A" w:rsidRPr="001304D5" w:rsidRDefault="0021164A" w:rsidP="00131EC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2) бюджетных ассигнований на 2022 год в об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ъ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1304D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12 754 669,28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776 587,28 рублей, на 2024 год в объеме 776 587,28 рублей, предусмотренных финансовому управлению администрации городского округа по разделу «О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б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«Резер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в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ные фонды» целевой статье расходов «Резервные фонды местных администраций» на финансовое обеспечение проведения непредвиденных расходов, в том числе на проведение аварийно-восстановительных работ и иных мероприятий, св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я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занных с ликвидацией последствий стихийных бе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ствий и других чрезвычайных ситуаций на террит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рии Изобильненского городского округа Ставр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польского края и иных непредвиденных расходов за счет средств резервного фонда администрации г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lastRenderedPageBreak/>
              <w:t>родского округа по решению администрации горо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ского округа;</w:t>
            </w:r>
          </w:p>
        </w:tc>
        <w:tc>
          <w:tcPr>
            <w:tcW w:w="6662" w:type="dxa"/>
          </w:tcPr>
          <w:p w:rsidR="0021164A" w:rsidRPr="001304D5" w:rsidRDefault="0021164A" w:rsidP="00131EC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lastRenderedPageBreak/>
              <w:t>2) бюджетных ассигнований на 2022 год в объ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A31891" w:rsidRPr="001304D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17 482 335,28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776 587,28 рублей, на 2024 год в объеме 776 587,28 рублей, предусмотренных финансовому управлению администрации городского округа по разделу «О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б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«Резер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в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ные фонды» целевой статье расходов «Резервные фонды местных администраций» на финансовое обеспечение проведения непредвиденных расходов, в том числе на проведение аварийно-восстановительных работ и иных мероприятий, св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я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занных с ликвидацией последствий стихийных бе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ствий и других чрезвычайных ситуаций на террит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рии Изобильненского городского округа Ставр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польского края и иных непредвиденных расходов за счет средств резервного фонда администрации г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lastRenderedPageBreak/>
              <w:t>родского округа по решению администрации горо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ского округа;</w:t>
            </w:r>
          </w:p>
        </w:tc>
      </w:tr>
      <w:tr w:rsidR="001304D5" w:rsidRPr="001304D5" w:rsidTr="00965152">
        <w:trPr>
          <w:trHeight w:val="1718"/>
        </w:trPr>
        <w:tc>
          <w:tcPr>
            <w:tcW w:w="568" w:type="dxa"/>
          </w:tcPr>
          <w:p w:rsidR="005C2BFE" w:rsidRPr="001304D5" w:rsidRDefault="005C2BFE" w:rsidP="00A524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19" w:type="dxa"/>
          </w:tcPr>
          <w:p w:rsidR="005C2BFE" w:rsidRPr="001304D5" w:rsidRDefault="005C2BFE" w:rsidP="005C2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п.п.3 п.5.1. части 5</w:t>
            </w:r>
          </w:p>
        </w:tc>
        <w:tc>
          <w:tcPr>
            <w:tcW w:w="6586" w:type="dxa"/>
          </w:tcPr>
          <w:p w:rsidR="005C2BFE" w:rsidRPr="001304D5" w:rsidRDefault="005C2BFE" w:rsidP="00682769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3) бюджетных ассигнований на 2022 год в об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ъ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4 400 000,00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4 400 000,00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2024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4 400 000,00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предусмотренных финансовому управлению администрации городского округа по разделу «О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б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«Другие общегосударственные вопросы» целевой статье ра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ходов «Обеспечение повышения заработной платы работникам культуры, дополнительного образов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ния детей, подпадающих под действие Указов Пр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зидента Российской Федерации, доведение зарабо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т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ной платы работников до минимального размера оплаты труда, установленного законодательством Российской Федерации» на финансовое 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рации, доведение заработной платы работников до минимального размера оплаты труда, установленн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го законодательством Российской Федерации на 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новании нормативных правовых актов Изобильне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ского городского округа Ставропольского края;</w:t>
            </w:r>
          </w:p>
        </w:tc>
        <w:tc>
          <w:tcPr>
            <w:tcW w:w="6662" w:type="dxa"/>
          </w:tcPr>
          <w:p w:rsidR="005C2BFE" w:rsidRPr="001304D5" w:rsidRDefault="001849D5" w:rsidP="006C3E9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3) бюджетных ассигнований на 2022 год в объ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4 400 000,00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2024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4 400 000,00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предусмотренных финансовому управлению адм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нистрации городского округа по разделу «Общегос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дарственные вопросы», подразделу «Другие общег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сударственные вопросы» целевой статье расходов «Обеспечение повышения заработной платы рабо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т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никам культуры, дополнительного образования 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дерации» на финансовое обеспечение повышения з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работной платы работникам культуры, дополнител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ь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ного образования детей, подпадающих под действие Указов Президента Российской Федерации, довед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ние заработной платы работников до минимального размера оплаты труда, установленного законодател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ь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ством Российской Федерации на основании норм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тивных правовых актов Изобильненского городского округа Ставропольского края;</w:t>
            </w:r>
          </w:p>
        </w:tc>
      </w:tr>
      <w:tr w:rsidR="001304D5" w:rsidRPr="001304D5" w:rsidTr="001849D5">
        <w:trPr>
          <w:trHeight w:val="1150"/>
        </w:trPr>
        <w:tc>
          <w:tcPr>
            <w:tcW w:w="568" w:type="dxa"/>
          </w:tcPr>
          <w:p w:rsidR="00682769" w:rsidRPr="001304D5" w:rsidRDefault="005C2BFE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9" w:type="dxa"/>
          </w:tcPr>
          <w:p w:rsidR="00682769" w:rsidRPr="001304D5" w:rsidRDefault="005C2BFE" w:rsidP="005C2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п.п.7 п.5.1. части 5</w:t>
            </w:r>
          </w:p>
        </w:tc>
        <w:tc>
          <w:tcPr>
            <w:tcW w:w="6586" w:type="dxa"/>
          </w:tcPr>
          <w:p w:rsidR="00682769" w:rsidRPr="001304D5" w:rsidRDefault="005C2BFE" w:rsidP="0068276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7) бюджетных ассигнований на 2022 год в объ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 </w:t>
            </w:r>
            <w:r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500 000,00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на 2023 год в объеме </w:t>
            </w:r>
            <w:r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500 000,00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на 2024 год в объеме </w:t>
            </w:r>
            <w:r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500 000,00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лей, предусмотренных отделу культуры администр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ции городского округа по разделу «Культура», по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разделу «Другие вопросы в области культуры, кин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матографии», целевой статье расходов «Расходы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поступлений» 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на финансирование первоочередных расходов учр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ждений культуры при условии привлечения безво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мездных поступлений в порядке, установленном а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министрацией городского округа;</w:t>
            </w:r>
          </w:p>
        </w:tc>
        <w:tc>
          <w:tcPr>
            <w:tcW w:w="6662" w:type="dxa"/>
          </w:tcPr>
          <w:p w:rsidR="00682769" w:rsidRPr="001304D5" w:rsidRDefault="001849D5" w:rsidP="006C3E9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7) бюджетных ассигнований на 2022 год в объ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 </w:t>
            </w:r>
            <w:r w:rsidR="006C3E92"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546 600,46 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рублей, на 2023 год в объеме </w:t>
            </w:r>
            <w:r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500 000,00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на 2024 год в объеме </w:t>
            </w:r>
            <w:r w:rsidRPr="001304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500 000,00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предусмотренных отделу культуры администрации городского округа по разделу «Культура», подразделу «Другие вопросы в области культуры, кинематогр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фии», целевой статье расходов «Расходы за счет р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зервированных средств на финансирование первооч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редных расходов учреждений культуры при условии привлечения безвозмездных поступлений» на фина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сирование первоочередных расходов учреждений культуры при условии привлечения безвозмездных поступлений в порядке, установленном администр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pacing w:val="-2"/>
                <w:sz w:val="28"/>
                <w:szCs w:val="28"/>
              </w:rPr>
              <w:t>цией городского округа;</w:t>
            </w:r>
          </w:p>
        </w:tc>
      </w:tr>
      <w:tr w:rsidR="001304D5" w:rsidRPr="001304D5" w:rsidTr="00965152">
        <w:trPr>
          <w:trHeight w:val="1718"/>
        </w:trPr>
        <w:tc>
          <w:tcPr>
            <w:tcW w:w="568" w:type="dxa"/>
          </w:tcPr>
          <w:p w:rsidR="00682769" w:rsidRPr="001304D5" w:rsidRDefault="005C2BFE" w:rsidP="00211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19" w:type="dxa"/>
          </w:tcPr>
          <w:p w:rsidR="00682769" w:rsidRPr="001304D5" w:rsidRDefault="005C2BFE" w:rsidP="005C2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  <w:lang w:eastAsia="ru-RU"/>
              </w:rPr>
              <w:t>мы п.п.8 п.5.1. части 5</w:t>
            </w:r>
          </w:p>
        </w:tc>
        <w:tc>
          <w:tcPr>
            <w:tcW w:w="6586" w:type="dxa"/>
          </w:tcPr>
          <w:p w:rsidR="00682769" w:rsidRPr="001304D5" w:rsidRDefault="00C220C5" w:rsidP="0021164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8) бюджетных ассигнований на 2022 год в об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ъ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7 000 000,00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2024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пред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смотренных финансовому управлению администр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ции городского округа по разделу «Общегосуда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ственные вопросы», подразделу «Другие общегос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дарственные вопросы», целевой статье расходов «Реализация инициативных проектов» на финанс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рование реализации инициативных проектов в п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рядке, установленном администрацией городского округа.</w:t>
            </w:r>
          </w:p>
        </w:tc>
        <w:tc>
          <w:tcPr>
            <w:tcW w:w="6662" w:type="dxa"/>
          </w:tcPr>
          <w:p w:rsidR="00682769" w:rsidRPr="001304D5" w:rsidRDefault="001849D5" w:rsidP="006C3E9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4D5">
              <w:rPr>
                <w:rFonts w:ascii="Times New Roman" w:hAnsi="Times New Roman"/>
                <w:sz w:val="28"/>
                <w:szCs w:val="28"/>
              </w:rPr>
              <w:t>8) бюджетных ассигнований на 2022 год в объ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7 </w:t>
            </w:r>
            <w:r w:rsidR="006C3E92" w:rsidRPr="001304D5">
              <w:rPr>
                <w:rFonts w:ascii="Times New Roman" w:hAnsi="Times New Roman"/>
                <w:b/>
                <w:sz w:val="28"/>
                <w:szCs w:val="28"/>
              </w:rPr>
              <w:t>661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на 2024 год в объеме </w:t>
            </w:r>
            <w:r w:rsidRPr="001304D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 xml:space="preserve"> рублей, пред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смотренных финансовому управлению администр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ции городского округа по разделу «Общегосуда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ственные вопросы», подразделу «Другие общегос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у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дарственные вопросы», целевой статье расходов «Р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ализация инициативных проектов» на финансиров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а</w:t>
            </w:r>
            <w:r w:rsidRPr="001304D5">
              <w:rPr>
                <w:rFonts w:ascii="Times New Roman" w:hAnsi="Times New Roman"/>
                <w:sz w:val="28"/>
                <w:szCs w:val="28"/>
              </w:rPr>
              <w:t>ние реализации инициативных проектов в порядке, установленном администрацией городского округа.</w:t>
            </w:r>
          </w:p>
        </w:tc>
      </w:tr>
    </w:tbl>
    <w:p w:rsidR="00B123EE" w:rsidRPr="001304D5" w:rsidRDefault="00B123EE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1304D5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1304D5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1304D5" w:rsidRDefault="00395386">
      <w:pPr>
        <w:spacing w:after="0" w:line="240" w:lineRule="exact"/>
        <w:rPr>
          <w:rFonts w:ascii="Times New Roman" w:hAnsi="Times New Roman"/>
          <w:sz w:val="28"/>
        </w:rPr>
      </w:pPr>
      <w:r w:rsidRPr="001304D5">
        <w:rPr>
          <w:rFonts w:ascii="Times New Roman" w:hAnsi="Times New Roman"/>
          <w:sz w:val="28"/>
        </w:rPr>
        <w:t>Н</w:t>
      </w:r>
      <w:r w:rsidR="00E16807" w:rsidRPr="001304D5">
        <w:rPr>
          <w:rFonts w:ascii="Times New Roman" w:hAnsi="Times New Roman"/>
          <w:sz w:val="28"/>
        </w:rPr>
        <w:t>ачальник финансового управления</w:t>
      </w:r>
    </w:p>
    <w:p w:rsidR="00E16807" w:rsidRPr="001304D5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1304D5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1304D5" w:rsidRDefault="00E16807">
      <w:pPr>
        <w:spacing w:after="0" w:line="240" w:lineRule="exact"/>
      </w:pPr>
      <w:r w:rsidRPr="001304D5">
        <w:rPr>
          <w:rFonts w:ascii="Times New Roman" w:hAnsi="Times New Roman"/>
          <w:sz w:val="28"/>
        </w:rPr>
        <w:t>округа Ставропольского края</w:t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="00395386" w:rsidRPr="001304D5">
        <w:rPr>
          <w:rFonts w:ascii="Times New Roman" w:hAnsi="Times New Roman"/>
          <w:sz w:val="28"/>
        </w:rPr>
        <w:t xml:space="preserve"> </w:t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</w:r>
      <w:r w:rsidRPr="001304D5">
        <w:rPr>
          <w:rFonts w:ascii="Times New Roman" w:hAnsi="Times New Roman"/>
          <w:sz w:val="28"/>
        </w:rPr>
        <w:tab/>
        <w:t xml:space="preserve">              </w:t>
      </w:r>
      <w:r w:rsidR="00700B75" w:rsidRPr="001304D5">
        <w:rPr>
          <w:rFonts w:ascii="Times New Roman" w:hAnsi="Times New Roman"/>
          <w:sz w:val="28"/>
        </w:rPr>
        <w:t xml:space="preserve">   </w:t>
      </w:r>
      <w:r w:rsidR="00395386" w:rsidRPr="001304D5">
        <w:rPr>
          <w:rFonts w:ascii="Times New Roman" w:hAnsi="Times New Roman"/>
          <w:sz w:val="28"/>
        </w:rPr>
        <w:t xml:space="preserve">         Л.И.Доброжанова</w:t>
      </w:r>
      <w:bookmarkEnd w:id="0"/>
    </w:p>
    <w:sectPr w:rsidR="00F80D84" w:rsidRPr="001304D5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304D5">
      <w:rPr>
        <w:noProof/>
      </w:rPr>
      <w:t>3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54B71"/>
    <w:rsid w:val="000641C0"/>
    <w:rsid w:val="0009665E"/>
    <w:rsid w:val="000A1186"/>
    <w:rsid w:val="000A2EBE"/>
    <w:rsid w:val="000A72C6"/>
    <w:rsid w:val="000B1E3E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4D5"/>
    <w:rsid w:val="00130DF8"/>
    <w:rsid w:val="00141D96"/>
    <w:rsid w:val="0015529E"/>
    <w:rsid w:val="0018002D"/>
    <w:rsid w:val="001849D5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1164A"/>
    <w:rsid w:val="00246A0E"/>
    <w:rsid w:val="00264636"/>
    <w:rsid w:val="002652A7"/>
    <w:rsid w:val="00270AE6"/>
    <w:rsid w:val="00280886"/>
    <w:rsid w:val="002941DA"/>
    <w:rsid w:val="00296387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76636"/>
    <w:rsid w:val="00377B76"/>
    <w:rsid w:val="00395386"/>
    <w:rsid w:val="003A3767"/>
    <w:rsid w:val="003B1956"/>
    <w:rsid w:val="003B664D"/>
    <w:rsid w:val="003D4A71"/>
    <w:rsid w:val="003F1FF1"/>
    <w:rsid w:val="003F6D2D"/>
    <w:rsid w:val="004003C0"/>
    <w:rsid w:val="004103F6"/>
    <w:rsid w:val="00415E8B"/>
    <w:rsid w:val="004206F1"/>
    <w:rsid w:val="00427221"/>
    <w:rsid w:val="004433C3"/>
    <w:rsid w:val="00455F85"/>
    <w:rsid w:val="00456010"/>
    <w:rsid w:val="00462C86"/>
    <w:rsid w:val="004801E6"/>
    <w:rsid w:val="0049269E"/>
    <w:rsid w:val="004A3488"/>
    <w:rsid w:val="004A3BFA"/>
    <w:rsid w:val="004C5D0F"/>
    <w:rsid w:val="004D026B"/>
    <w:rsid w:val="004E29C2"/>
    <w:rsid w:val="004E2B26"/>
    <w:rsid w:val="004E76EF"/>
    <w:rsid w:val="00510DB0"/>
    <w:rsid w:val="005340CA"/>
    <w:rsid w:val="00597D59"/>
    <w:rsid w:val="005A1B0C"/>
    <w:rsid w:val="005A4E4B"/>
    <w:rsid w:val="005B2C0F"/>
    <w:rsid w:val="005C2BFE"/>
    <w:rsid w:val="005C3165"/>
    <w:rsid w:val="005C39EC"/>
    <w:rsid w:val="005E6DA9"/>
    <w:rsid w:val="006052BB"/>
    <w:rsid w:val="006134AC"/>
    <w:rsid w:val="00627A7E"/>
    <w:rsid w:val="006601FA"/>
    <w:rsid w:val="00662478"/>
    <w:rsid w:val="0067439B"/>
    <w:rsid w:val="0067522D"/>
    <w:rsid w:val="00682769"/>
    <w:rsid w:val="00686942"/>
    <w:rsid w:val="00694A19"/>
    <w:rsid w:val="00695BAC"/>
    <w:rsid w:val="006B11D8"/>
    <w:rsid w:val="006B24EB"/>
    <w:rsid w:val="006C3E92"/>
    <w:rsid w:val="006C4D77"/>
    <w:rsid w:val="006E25D7"/>
    <w:rsid w:val="006E2E75"/>
    <w:rsid w:val="006E617F"/>
    <w:rsid w:val="006E685C"/>
    <w:rsid w:val="006F4C15"/>
    <w:rsid w:val="00700B75"/>
    <w:rsid w:val="007044E1"/>
    <w:rsid w:val="00717E12"/>
    <w:rsid w:val="00735212"/>
    <w:rsid w:val="0075783E"/>
    <w:rsid w:val="00766D06"/>
    <w:rsid w:val="0077173E"/>
    <w:rsid w:val="00771F0F"/>
    <w:rsid w:val="00773EF3"/>
    <w:rsid w:val="00792DEF"/>
    <w:rsid w:val="007B4AEF"/>
    <w:rsid w:val="007C3F26"/>
    <w:rsid w:val="007C4CE8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A1030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59C7"/>
    <w:rsid w:val="009467A2"/>
    <w:rsid w:val="00965152"/>
    <w:rsid w:val="009876E0"/>
    <w:rsid w:val="00990A8A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31891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B7284"/>
    <w:rsid w:val="00AC4121"/>
    <w:rsid w:val="00AD1D16"/>
    <w:rsid w:val="00AD76A4"/>
    <w:rsid w:val="00AF6AE9"/>
    <w:rsid w:val="00B0272C"/>
    <w:rsid w:val="00B123EE"/>
    <w:rsid w:val="00B15B19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C5F2B"/>
    <w:rsid w:val="00BD6C27"/>
    <w:rsid w:val="00BE2980"/>
    <w:rsid w:val="00BE5DFB"/>
    <w:rsid w:val="00C041DC"/>
    <w:rsid w:val="00C045B5"/>
    <w:rsid w:val="00C11929"/>
    <w:rsid w:val="00C220C5"/>
    <w:rsid w:val="00C22B0E"/>
    <w:rsid w:val="00C37303"/>
    <w:rsid w:val="00C55360"/>
    <w:rsid w:val="00C80AF0"/>
    <w:rsid w:val="00C86B85"/>
    <w:rsid w:val="00CA5698"/>
    <w:rsid w:val="00CC57E2"/>
    <w:rsid w:val="00CD2AD9"/>
    <w:rsid w:val="00CE5B13"/>
    <w:rsid w:val="00CF2624"/>
    <w:rsid w:val="00CF70EE"/>
    <w:rsid w:val="00D01D0B"/>
    <w:rsid w:val="00D077E2"/>
    <w:rsid w:val="00D412CC"/>
    <w:rsid w:val="00D65850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DF1BA0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82188"/>
    <w:rsid w:val="00EA0A88"/>
    <w:rsid w:val="00EC645D"/>
    <w:rsid w:val="00ED4981"/>
    <w:rsid w:val="00ED4E09"/>
    <w:rsid w:val="00ED58A5"/>
    <w:rsid w:val="00F20C9A"/>
    <w:rsid w:val="00F2435B"/>
    <w:rsid w:val="00F45281"/>
    <w:rsid w:val="00F65D26"/>
    <w:rsid w:val="00F71335"/>
    <w:rsid w:val="00F73A60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395</cp:revision>
  <cp:lastPrinted>2022-06-02T12:10:00Z</cp:lastPrinted>
  <dcterms:created xsi:type="dcterms:W3CDTF">2018-01-17T15:10:00Z</dcterms:created>
  <dcterms:modified xsi:type="dcterms:W3CDTF">2022-08-05T11:19:00Z</dcterms:modified>
</cp:coreProperties>
</file>