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F1" w:rsidRPr="002E03EE" w:rsidRDefault="00372AF1">
      <w:pPr>
        <w:spacing w:after="0" w:line="240" w:lineRule="auto"/>
        <w:jc w:val="center"/>
        <w:rPr>
          <w:rFonts w:ascii="Times New Roman" w:hAnsi="Times New Roman"/>
          <w:color w:val="7030A0"/>
          <w:sz w:val="28"/>
          <w:szCs w:val="28"/>
          <w:lang w:eastAsia="ru-RU"/>
        </w:rPr>
      </w:pPr>
    </w:p>
    <w:p w:rsidR="00E16807" w:rsidRPr="0088021B" w:rsidRDefault="00E168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r w:rsidRPr="0088021B">
        <w:rPr>
          <w:rFonts w:ascii="Times New Roman" w:hAnsi="Times New Roman"/>
          <w:sz w:val="28"/>
          <w:szCs w:val="28"/>
          <w:lang w:eastAsia="ru-RU"/>
        </w:rPr>
        <w:t>СРАВНИТЕЛЬНАЯ ТАБЛИЦА</w:t>
      </w:r>
      <w:r w:rsidRPr="0088021B">
        <w:rPr>
          <w:rFonts w:ascii="Times New Roman" w:hAnsi="Times New Roman"/>
          <w:sz w:val="28"/>
          <w:szCs w:val="28"/>
          <w:lang w:eastAsia="ru-RU"/>
        </w:rPr>
        <w:br/>
        <w:t>к решению Думы Изобильненского городского округа Ставропольского края «</w:t>
      </w:r>
      <w:r w:rsidRPr="0088021B">
        <w:rPr>
          <w:rFonts w:ascii="Times New Roman" w:hAnsi="Times New Roman"/>
          <w:bCs/>
          <w:sz w:val="28"/>
          <w:szCs w:val="28"/>
          <w:lang w:eastAsia="ru-RU"/>
        </w:rPr>
        <w:t>О бюджете Изобильненского городского округа Ставропольского края на 202</w:t>
      </w:r>
      <w:r w:rsidR="00AF6AE9" w:rsidRPr="0088021B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88021B">
        <w:rPr>
          <w:rFonts w:ascii="Times New Roman" w:hAnsi="Times New Roman"/>
          <w:bCs/>
          <w:sz w:val="28"/>
          <w:szCs w:val="28"/>
          <w:lang w:eastAsia="ru-RU"/>
        </w:rPr>
        <w:t xml:space="preserve"> год и плановый период 202</w:t>
      </w:r>
      <w:r w:rsidR="00AF6AE9" w:rsidRPr="0088021B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88021B">
        <w:rPr>
          <w:rFonts w:ascii="Times New Roman" w:hAnsi="Times New Roman"/>
          <w:bCs/>
          <w:sz w:val="28"/>
          <w:szCs w:val="28"/>
          <w:lang w:eastAsia="ru-RU"/>
        </w:rPr>
        <w:t xml:space="preserve"> и 202</w:t>
      </w:r>
      <w:r w:rsidR="00AF6AE9" w:rsidRPr="0088021B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88021B">
        <w:rPr>
          <w:rFonts w:ascii="Times New Roman" w:hAnsi="Times New Roman"/>
          <w:bCs/>
          <w:sz w:val="28"/>
          <w:szCs w:val="28"/>
          <w:lang w:eastAsia="ru-RU"/>
        </w:rPr>
        <w:t xml:space="preserve"> годов»</w:t>
      </w:r>
    </w:p>
    <w:p w:rsidR="00E16807" w:rsidRPr="0088021B" w:rsidRDefault="00E168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67A2" w:rsidRPr="0088021B" w:rsidRDefault="00946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19"/>
        <w:gridCol w:w="6586"/>
        <w:gridCol w:w="6662"/>
      </w:tblGrid>
      <w:tr w:rsidR="0088021B" w:rsidRPr="0088021B" w:rsidTr="00ED4E09">
        <w:trPr>
          <w:trHeight w:val="1536"/>
        </w:trPr>
        <w:tc>
          <w:tcPr>
            <w:tcW w:w="568" w:type="dxa"/>
            <w:vAlign w:val="center"/>
          </w:tcPr>
          <w:p w:rsidR="00E16807" w:rsidRPr="0088021B" w:rsidRDefault="00E16807">
            <w:pPr>
              <w:spacing w:after="0" w:line="240" w:lineRule="auto"/>
              <w:ind w:left="261" w:right="-113" w:hanging="37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E16807" w:rsidRPr="0088021B" w:rsidRDefault="00E16807">
            <w:pPr>
              <w:spacing w:after="0" w:line="240" w:lineRule="auto"/>
              <w:ind w:left="261" w:right="-113" w:hanging="37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19" w:type="dxa"/>
            <w:vAlign w:val="center"/>
          </w:tcPr>
          <w:p w:rsidR="00E16807" w:rsidRPr="0088021B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Пункт реш</w:t>
            </w: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586" w:type="dxa"/>
            <w:vAlign w:val="center"/>
          </w:tcPr>
          <w:p w:rsidR="00E16807" w:rsidRPr="0088021B" w:rsidRDefault="00E16807" w:rsidP="00AF6AE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Действующие положения  решения Думы Изобил</w:t>
            </w: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ненского городского округа Ставропольского края «</w:t>
            </w:r>
            <w:r w:rsidRPr="008802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 бюджете Изобильненского городского округа Ставропольского края на 202</w:t>
            </w:r>
            <w:r w:rsidR="00AF6AE9" w:rsidRPr="008802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8802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 и плановый пер</w:t>
            </w:r>
            <w:r w:rsidRPr="008802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8802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од 202</w:t>
            </w:r>
            <w:r w:rsidR="00AF6AE9" w:rsidRPr="008802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8802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 202</w:t>
            </w:r>
            <w:r w:rsidR="00AF6AE9" w:rsidRPr="008802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Pr="008802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годов»</w:t>
            </w:r>
          </w:p>
        </w:tc>
        <w:tc>
          <w:tcPr>
            <w:tcW w:w="6662" w:type="dxa"/>
            <w:vAlign w:val="center"/>
          </w:tcPr>
          <w:p w:rsidR="00E16807" w:rsidRPr="0088021B" w:rsidRDefault="00E16807" w:rsidP="00AF6AE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Положения решения Думы Изобильненского горо</w:t>
            </w: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ского округа Ставропольского края «</w:t>
            </w:r>
            <w:r w:rsidRPr="008802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 бюджете Изобильненского городского округа Ставропольск</w:t>
            </w:r>
            <w:r w:rsidRPr="008802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8802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 края на 202</w:t>
            </w:r>
            <w:r w:rsidR="00AF6AE9" w:rsidRPr="008802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8802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AF6AE9" w:rsidRPr="008802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8802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 202</w:t>
            </w:r>
            <w:r w:rsidR="00AF6AE9" w:rsidRPr="008802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Pr="008802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годов» с учетом изменений</w:t>
            </w:r>
          </w:p>
        </w:tc>
      </w:tr>
      <w:tr w:rsidR="0088021B" w:rsidRPr="0088021B" w:rsidTr="00ED4E09">
        <w:trPr>
          <w:trHeight w:val="315"/>
        </w:trPr>
        <w:tc>
          <w:tcPr>
            <w:tcW w:w="568" w:type="dxa"/>
            <w:vAlign w:val="bottom"/>
          </w:tcPr>
          <w:p w:rsidR="00E16807" w:rsidRPr="0088021B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919" w:type="dxa"/>
            <w:vAlign w:val="bottom"/>
          </w:tcPr>
          <w:p w:rsidR="00E16807" w:rsidRPr="0088021B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86" w:type="dxa"/>
            <w:vAlign w:val="bottom"/>
          </w:tcPr>
          <w:p w:rsidR="00E16807" w:rsidRPr="0088021B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2" w:type="dxa"/>
            <w:vAlign w:val="bottom"/>
          </w:tcPr>
          <w:p w:rsidR="00E16807" w:rsidRPr="0088021B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8021B" w:rsidRPr="0088021B" w:rsidTr="00ED4E09">
        <w:trPr>
          <w:trHeight w:val="1281"/>
        </w:trPr>
        <w:tc>
          <w:tcPr>
            <w:tcW w:w="568" w:type="dxa"/>
          </w:tcPr>
          <w:p w:rsidR="000A2EBE" w:rsidRPr="0088021B" w:rsidRDefault="000A2EBE" w:rsidP="005A1B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9" w:type="dxa"/>
          </w:tcPr>
          <w:p w:rsidR="000A2EBE" w:rsidRPr="0088021B" w:rsidRDefault="000A2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</w:t>
            </w: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мы п.п.1 п.1.1. части 1</w:t>
            </w:r>
          </w:p>
        </w:tc>
        <w:tc>
          <w:tcPr>
            <w:tcW w:w="6586" w:type="dxa"/>
          </w:tcPr>
          <w:p w:rsidR="000A2EBE" w:rsidRPr="0088021B" w:rsidRDefault="0048634C" w:rsidP="00075736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8021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1) общий объем доходов бюджета городского округа на 2022 год в сумме </w:t>
            </w:r>
            <w:r w:rsidRPr="008802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3 302 137 470,39</w:t>
            </w:r>
            <w:r w:rsidRPr="0088021B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</w:t>
            </w:r>
            <w:r w:rsidRPr="0088021B">
              <w:rPr>
                <w:rFonts w:ascii="Times New Roman" w:hAnsi="Times New Roman"/>
                <w:spacing w:val="-2"/>
                <w:sz w:val="28"/>
                <w:szCs w:val="28"/>
              </w:rPr>
              <w:t>рублей, на 2023 год в сумме 2 623 251 309,21 рублей, на 2024 год в сумме 2 594 762 074,12 рублей;</w:t>
            </w:r>
          </w:p>
        </w:tc>
        <w:tc>
          <w:tcPr>
            <w:tcW w:w="6662" w:type="dxa"/>
          </w:tcPr>
          <w:p w:rsidR="000A2EBE" w:rsidRPr="0088021B" w:rsidRDefault="000A2EBE" w:rsidP="00E7365F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8021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1) общий объем доходов бюджета городского округа на 2022 год в сумме </w:t>
            </w:r>
            <w:r w:rsidR="00E7365F" w:rsidRPr="008802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3 332 443 025,64</w:t>
            </w:r>
            <w:r w:rsidRPr="0088021B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</w:t>
            </w:r>
            <w:r w:rsidRPr="0088021B">
              <w:rPr>
                <w:rFonts w:ascii="Times New Roman" w:hAnsi="Times New Roman"/>
                <w:spacing w:val="-2"/>
                <w:sz w:val="28"/>
                <w:szCs w:val="28"/>
              </w:rPr>
              <w:t>рублей, на 2023 год в сумме 2 623 251 309,21 рублей, на 2024 год в сумме 2 594 762 074,12 рублей;</w:t>
            </w:r>
          </w:p>
        </w:tc>
      </w:tr>
      <w:tr w:rsidR="0088021B" w:rsidRPr="0088021B" w:rsidTr="00ED4E09">
        <w:trPr>
          <w:trHeight w:val="2122"/>
        </w:trPr>
        <w:tc>
          <w:tcPr>
            <w:tcW w:w="568" w:type="dxa"/>
          </w:tcPr>
          <w:p w:rsidR="000A2EBE" w:rsidRPr="0088021B" w:rsidRDefault="000A2EBE" w:rsidP="005A1B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9" w:type="dxa"/>
          </w:tcPr>
          <w:p w:rsidR="000A2EBE" w:rsidRPr="0088021B" w:rsidRDefault="000A2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</w:t>
            </w: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мы п.п.2 п.1.1. части 1</w:t>
            </w:r>
          </w:p>
        </w:tc>
        <w:tc>
          <w:tcPr>
            <w:tcW w:w="6586" w:type="dxa"/>
          </w:tcPr>
          <w:p w:rsidR="000A2EBE" w:rsidRPr="0088021B" w:rsidRDefault="0048634C" w:rsidP="00075736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21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2) общий объем расходов бюджета городского округа </w:t>
            </w:r>
            <w:r w:rsidRPr="0088021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на 2022 год в сумме </w:t>
            </w:r>
            <w:r w:rsidRPr="008802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3 485 942 973,75</w:t>
            </w:r>
            <w:r w:rsidRPr="0088021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рублей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,</w:t>
            </w:r>
            <w:r w:rsidRPr="0088021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на 2023 год в сумме 2 629 009 303,83 рублей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, в том числе условно утвержденные расходы в сумме 26 754 827,38 рублей</w:t>
            </w:r>
            <w:r w:rsidRPr="0088021B">
              <w:rPr>
                <w:rFonts w:ascii="Times New Roman" w:hAnsi="Times New Roman"/>
                <w:spacing w:val="-2"/>
                <w:sz w:val="28"/>
                <w:szCs w:val="28"/>
              </w:rPr>
              <w:t>, и на 2024 год в сумме 2 614 749 191,89 рублей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, в том числе условно утве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р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жденные расходы в сумме 53 643 028,91 рублей;</w:t>
            </w:r>
          </w:p>
        </w:tc>
        <w:tc>
          <w:tcPr>
            <w:tcW w:w="6662" w:type="dxa"/>
          </w:tcPr>
          <w:p w:rsidR="000A2EBE" w:rsidRPr="0088021B" w:rsidRDefault="000A2EBE" w:rsidP="00E7365F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21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2) общий объем расходов бюджета городского округа </w:t>
            </w:r>
            <w:r w:rsidRPr="0088021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на 2022 год в сумме </w:t>
            </w:r>
            <w:r w:rsidR="00E7365F" w:rsidRPr="008802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3 516 248 529,00</w:t>
            </w:r>
            <w:r w:rsidRPr="0088021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рублей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,</w:t>
            </w:r>
            <w:r w:rsidRPr="0088021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на 2023 год в сумме 2 629 009 303,83 рублей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, в том числе условно утвержденные расходы в сумме 26 754 827,38 рублей</w:t>
            </w:r>
            <w:r w:rsidRPr="0088021B">
              <w:rPr>
                <w:rFonts w:ascii="Times New Roman" w:hAnsi="Times New Roman"/>
                <w:spacing w:val="-2"/>
                <w:sz w:val="28"/>
                <w:szCs w:val="28"/>
              </w:rPr>
              <w:t>, и на 2024 год в сумме 2 614 749 191,89 рублей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, в том числе условно утве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р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жденные расходы в сумме 53 643 028,91 рублей;</w:t>
            </w:r>
          </w:p>
        </w:tc>
      </w:tr>
      <w:tr w:rsidR="0088021B" w:rsidRPr="0088021B" w:rsidTr="00ED4E09">
        <w:trPr>
          <w:trHeight w:val="1816"/>
        </w:trPr>
        <w:tc>
          <w:tcPr>
            <w:tcW w:w="568" w:type="dxa"/>
          </w:tcPr>
          <w:p w:rsidR="000A2EBE" w:rsidRPr="0088021B" w:rsidRDefault="0067439B" w:rsidP="003953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9" w:type="dxa"/>
          </w:tcPr>
          <w:p w:rsidR="000A2EBE" w:rsidRPr="0088021B" w:rsidRDefault="000A2EBE" w:rsidP="00AF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</w:t>
            </w: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мы п.3.1. ч</w:t>
            </w: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сти 3</w:t>
            </w:r>
          </w:p>
        </w:tc>
        <w:tc>
          <w:tcPr>
            <w:tcW w:w="6586" w:type="dxa"/>
          </w:tcPr>
          <w:p w:rsidR="000A2EBE" w:rsidRPr="0088021B" w:rsidRDefault="0048634C" w:rsidP="0007573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1B">
              <w:rPr>
                <w:rFonts w:ascii="Times New Roman" w:hAnsi="Times New Roman"/>
                <w:sz w:val="28"/>
                <w:szCs w:val="28"/>
              </w:rPr>
              <w:t>3.1. Учесть в составе доходов бюджета горо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д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ского округа межбюджетные трансферты, получа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е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 xml:space="preserve">мые из бюджета Ставропольского края, на 2022 год в сумме </w:t>
            </w:r>
            <w:r w:rsidRPr="0088021B">
              <w:rPr>
                <w:rFonts w:ascii="Times New Roman" w:hAnsi="Times New Roman"/>
                <w:b/>
                <w:sz w:val="28"/>
                <w:szCs w:val="28"/>
              </w:rPr>
              <w:t>2 601 203 504,88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 xml:space="preserve"> рублей, на 2023 год в су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м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ме 1 931 733 208,75 рублей, на 2024 год в сумме 1 880 515 613,66 рублей.</w:t>
            </w:r>
          </w:p>
        </w:tc>
        <w:tc>
          <w:tcPr>
            <w:tcW w:w="6662" w:type="dxa"/>
          </w:tcPr>
          <w:p w:rsidR="000A2EBE" w:rsidRPr="0088021B" w:rsidRDefault="000A2EBE" w:rsidP="00E7365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1B">
              <w:rPr>
                <w:rFonts w:ascii="Times New Roman" w:hAnsi="Times New Roman"/>
                <w:sz w:val="28"/>
                <w:szCs w:val="28"/>
              </w:rPr>
              <w:t>3.1. Учесть в составе доходов бюджета горо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д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ского округа межбюджетные трансферты, получа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е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 xml:space="preserve">мые из бюджета Ставропольского края, на 2022 год в сумме </w:t>
            </w:r>
            <w:r w:rsidR="00E7365F" w:rsidRPr="0088021B">
              <w:rPr>
                <w:rFonts w:ascii="Times New Roman" w:hAnsi="Times New Roman"/>
                <w:b/>
                <w:sz w:val="28"/>
                <w:szCs w:val="28"/>
              </w:rPr>
              <w:t>2 613 003 188,17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 xml:space="preserve"> рублей, на 2023 год в сумме 1 931 733 208,75 рублей, на 2024 год в сумме 1 880 515 613,66 рублей.</w:t>
            </w:r>
          </w:p>
        </w:tc>
      </w:tr>
      <w:tr w:rsidR="0088021B" w:rsidRPr="0088021B" w:rsidTr="0048634C">
        <w:trPr>
          <w:trHeight w:val="1434"/>
        </w:trPr>
        <w:tc>
          <w:tcPr>
            <w:tcW w:w="568" w:type="dxa"/>
          </w:tcPr>
          <w:p w:rsidR="00CF2624" w:rsidRPr="0088021B" w:rsidRDefault="0067439B" w:rsidP="00131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9" w:type="dxa"/>
          </w:tcPr>
          <w:p w:rsidR="00CF2624" w:rsidRPr="0088021B" w:rsidRDefault="00CF2624" w:rsidP="00131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</w:t>
            </w: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мы п.4.4. ч</w:t>
            </w: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сти 4</w:t>
            </w:r>
          </w:p>
        </w:tc>
        <w:tc>
          <w:tcPr>
            <w:tcW w:w="6586" w:type="dxa"/>
          </w:tcPr>
          <w:p w:rsidR="00CF2624" w:rsidRPr="0088021B" w:rsidRDefault="0048634C" w:rsidP="00131EC2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1B">
              <w:rPr>
                <w:rFonts w:ascii="Times New Roman" w:hAnsi="Times New Roman"/>
                <w:sz w:val="28"/>
                <w:szCs w:val="28"/>
              </w:rPr>
              <w:t>4.4. Утвердить общий объем бюджетных асси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г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 xml:space="preserve">нований на исполнение публичных нормативных обязательств на 2022 год в сумме </w:t>
            </w:r>
            <w:r w:rsidRPr="0088021B">
              <w:rPr>
                <w:rFonts w:ascii="Times New Roman" w:hAnsi="Times New Roman"/>
                <w:b/>
                <w:sz w:val="28"/>
                <w:szCs w:val="28"/>
              </w:rPr>
              <w:t xml:space="preserve">645 686 702,39 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рублей, на 2023 год в сумме 682 023 654,22 рублей и на 2024 год в сумме 718 335 830,76 рублей.</w:t>
            </w:r>
          </w:p>
        </w:tc>
        <w:tc>
          <w:tcPr>
            <w:tcW w:w="6662" w:type="dxa"/>
          </w:tcPr>
          <w:p w:rsidR="00CF2624" w:rsidRPr="0088021B" w:rsidRDefault="00CF2624" w:rsidP="00E7365F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1B">
              <w:rPr>
                <w:rFonts w:ascii="Times New Roman" w:hAnsi="Times New Roman"/>
                <w:sz w:val="28"/>
                <w:szCs w:val="28"/>
              </w:rPr>
              <w:t>4.4. Утвердить общий объем бюджетных асси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г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 xml:space="preserve">нований на исполнение публичных нормативных обязательств на 2022 год в сумме </w:t>
            </w:r>
            <w:r w:rsidR="00E7365F" w:rsidRPr="0088021B">
              <w:rPr>
                <w:rFonts w:ascii="Times New Roman" w:hAnsi="Times New Roman"/>
                <w:b/>
                <w:sz w:val="28"/>
                <w:szCs w:val="28"/>
              </w:rPr>
              <w:t>654 456 969,88</w:t>
            </w:r>
            <w:r w:rsidRPr="0088021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рублей, на 2023 год в сумме 682 023 654,22 рублей и на 2024 год в сумме 718 335 830,76 рублей.</w:t>
            </w:r>
          </w:p>
        </w:tc>
      </w:tr>
      <w:tr w:rsidR="0088021B" w:rsidRPr="0088021B" w:rsidTr="00965152">
        <w:trPr>
          <w:trHeight w:val="1718"/>
        </w:trPr>
        <w:tc>
          <w:tcPr>
            <w:tcW w:w="568" w:type="dxa"/>
          </w:tcPr>
          <w:p w:rsidR="00372AF1" w:rsidRPr="0088021B" w:rsidRDefault="0067439B" w:rsidP="006E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919" w:type="dxa"/>
          </w:tcPr>
          <w:p w:rsidR="00372AF1" w:rsidRPr="0088021B" w:rsidRDefault="00372AF1" w:rsidP="008A5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</w:t>
            </w: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мы п.4.5. ч</w:t>
            </w: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сти 4</w:t>
            </w:r>
          </w:p>
        </w:tc>
        <w:tc>
          <w:tcPr>
            <w:tcW w:w="6586" w:type="dxa"/>
          </w:tcPr>
          <w:p w:rsidR="00372AF1" w:rsidRPr="0088021B" w:rsidRDefault="0048634C" w:rsidP="00965152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1B">
              <w:rPr>
                <w:rFonts w:ascii="Times New Roman" w:hAnsi="Times New Roman"/>
                <w:sz w:val="28"/>
                <w:szCs w:val="28"/>
              </w:rPr>
              <w:t xml:space="preserve">4.5. Утвердить объем бюджетных ассигнований дорожного фонда Изобильненского городского округа Ставропольского края на 2022 год в сумме </w:t>
            </w:r>
            <w:r w:rsidRPr="0088021B">
              <w:rPr>
                <w:rFonts w:ascii="Times New Roman" w:hAnsi="Times New Roman"/>
                <w:b/>
                <w:sz w:val="28"/>
                <w:szCs w:val="28"/>
              </w:rPr>
              <w:t>446 882 813,30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 xml:space="preserve"> рублей, на 2023 год в сумме 100 419 592,44 рублей и на 2024 год в сумме 35 576 840,00 рублей.</w:t>
            </w:r>
          </w:p>
        </w:tc>
        <w:tc>
          <w:tcPr>
            <w:tcW w:w="6662" w:type="dxa"/>
          </w:tcPr>
          <w:p w:rsidR="00372AF1" w:rsidRPr="0088021B" w:rsidRDefault="0048634C" w:rsidP="00E7365F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1B">
              <w:rPr>
                <w:rFonts w:ascii="Times New Roman" w:hAnsi="Times New Roman"/>
                <w:sz w:val="28"/>
                <w:szCs w:val="28"/>
              </w:rPr>
              <w:t>4.5. Утвердить объем бюджетных ассигнований дорожного фонда Изобильненского городского окр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у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 xml:space="preserve">га Ставропольского края на 2022 год в сумме </w:t>
            </w:r>
            <w:r w:rsidR="00E7365F" w:rsidRPr="0088021B">
              <w:rPr>
                <w:rFonts w:ascii="Times New Roman" w:hAnsi="Times New Roman"/>
                <w:b/>
                <w:sz w:val="28"/>
                <w:szCs w:val="28"/>
              </w:rPr>
              <w:t>457 105 684,06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 xml:space="preserve"> рублей, на 2023 год в сумме 100 419 592,44 рублей и на 2024 год в сумме 35 576 840,00 рублей.</w:t>
            </w:r>
          </w:p>
        </w:tc>
      </w:tr>
      <w:tr w:rsidR="0088021B" w:rsidRPr="0088021B" w:rsidTr="00965152">
        <w:trPr>
          <w:trHeight w:val="1718"/>
        </w:trPr>
        <w:tc>
          <w:tcPr>
            <w:tcW w:w="568" w:type="dxa"/>
          </w:tcPr>
          <w:p w:rsidR="0021164A" w:rsidRPr="0088021B" w:rsidRDefault="0067439B" w:rsidP="00131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9" w:type="dxa"/>
          </w:tcPr>
          <w:p w:rsidR="0021164A" w:rsidRPr="0088021B" w:rsidRDefault="0021164A" w:rsidP="00131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</w:t>
            </w: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мы п.4.6. ч</w:t>
            </w: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сти 4</w:t>
            </w:r>
          </w:p>
        </w:tc>
        <w:tc>
          <w:tcPr>
            <w:tcW w:w="6586" w:type="dxa"/>
          </w:tcPr>
          <w:p w:rsidR="0021164A" w:rsidRPr="0088021B" w:rsidRDefault="0048634C" w:rsidP="00131EC2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1B">
              <w:rPr>
                <w:rFonts w:ascii="Times New Roman" w:hAnsi="Times New Roman"/>
                <w:spacing w:val="-4"/>
                <w:sz w:val="28"/>
                <w:szCs w:val="28"/>
              </w:rPr>
              <w:t>4.6. Утвердить объем резервного фонда админ</w:t>
            </w:r>
            <w:r w:rsidRPr="0088021B">
              <w:rPr>
                <w:rFonts w:ascii="Times New Roman" w:hAnsi="Times New Roman"/>
                <w:spacing w:val="-4"/>
                <w:sz w:val="28"/>
                <w:szCs w:val="28"/>
              </w:rPr>
              <w:t>и</w:t>
            </w:r>
            <w:r w:rsidRPr="0088021B">
              <w:rPr>
                <w:rFonts w:ascii="Times New Roman" w:hAnsi="Times New Roman"/>
                <w:spacing w:val="-4"/>
                <w:sz w:val="28"/>
                <w:szCs w:val="28"/>
              </w:rPr>
              <w:t>страции Изобильненского городского округа Ставр</w:t>
            </w:r>
            <w:r w:rsidRPr="0088021B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88021B">
              <w:rPr>
                <w:rFonts w:ascii="Times New Roman" w:hAnsi="Times New Roman"/>
                <w:spacing w:val="-4"/>
                <w:sz w:val="28"/>
                <w:szCs w:val="28"/>
              </w:rPr>
              <w:t>польского края (далее – резервный фонд администр</w:t>
            </w:r>
            <w:r w:rsidRPr="0088021B">
              <w:rPr>
                <w:rFonts w:ascii="Times New Roman" w:hAnsi="Times New Roman"/>
                <w:spacing w:val="-4"/>
                <w:sz w:val="28"/>
                <w:szCs w:val="28"/>
              </w:rPr>
              <w:t>а</w:t>
            </w:r>
            <w:r w:rsidRPr="0088021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ции городского округа) на 2022 год в сумме </w:t>
            </w:r>
            <w:r w:rsidRPr="0088021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14 844 085,28 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021B">
              <w:rPr>
                <w:rFonts w:ascii="Times New Roman" w:hAnsi="Times New Roman"/>
                <w:spacing w:val="-4"/>
                <w:sz w:val="28"/>
                <w:szCs w:val="28"/>
              </w:rPr>
              <w:t>рублей,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 xml:space="preserve"> на 2023 год в сумме </w:t>
            </w:r>
            <w:r w:rsidRPr="0088021B">
              <w:rPr>
                <w:rFonts w:ascii="Times New Roman" w:hAnsi="Times New Roman"/>
                <w:spacing w:val="-4"/>
                <w:sz w:val="28"/>
                <w:szCs w:val="28"/>
              </w:rPr>
              <w:t>776 587,28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 xml:space="preserve"> рублей и на 2024 год в сумме </w:t>
            </w:r>
            <w:r w:rsidRPr="0088021B">
              <w:rPr>
                <w:rFonts w:ascii="Times New Roman" w:hAnsi="Times New Roman"/>
                <w:spacing w:val="-4"/>
                <w:sz w:val="28"/>
                <w:szCs w:val="28"/>
              </w:rPr>
              <w:t>776 587,28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</w:tc>
        <w:tc>
          <w:tcPr>
            <w:tcW w:w="6662" w:type="dxa"/>
          </w:tcPr>
          <w:p w:rsidR="0021164A" w:rsidRPr="0088021B" w:rsidRDefault="0048634C" w:rsidP="00163A08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1B">
              <w:rPr>
                <w:rFonts w:ascii="Times New Roman" w:hAnsi="Times New Roman"/>
                <w:spacing w:val="-4"/>
                <w:sz w:val="28"/>
                <w:szCs w:val="28"/>
              </w:rPr>
              <w:t>4.6. Утвердить объем резервного фонда админ</w:t>
            </w:r>
            <w:r w:rsidRPr="0088021B">
              <w:rPr>
                <w:rFonts w:ascii="Times New Roman" w:hAnsi="Times New Roman"/>
                <w:spacing w:val="-4"/>
                <w:sz w:val="28"/>
                <w:szCs w:val="28"/>
              </w:rPr>
              <w:t>и</w:t>
            </w:r>
            <w:r w:rsidRPr="0088021B">
              <w:rPr>
                <w:rFonts w:ascii="Times New Roman" w:hAnsi="Times New Roman"/>
                <w:spacing w:val="-4"/>
                <w:sz w:val="28"/>
                <w:szCs w:val="28"/>
              </w:rPr>
              <w:t>страции Изобильненского городского округа Ставр</w:t>
            </w:r>
            <w:r w:rsidRPr="0088021B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88021B">
              <w:rPr>
                <w:rFonts w:ascii="Times New Roman" w:hAnsi="Times New Roman"/>
                <w:spacing w:val="-4"/>
                <w:sz w:val="28"/>
                <w:szCs w:val="28"/>
              </w:rPr>
              <w:t>польского края (далее – резервный фонд администр</w:t>
            </w:r>
            <w:r w:rsidRPr="0088021B">
              <w:rPr>
                <w:rFonts w:ascii="Times New Roman" w:hAnsi="Times New Roman"/>
                <w:spacing w:val="-4"/>
                <w:sz w:val="28"/>
                <w:szCs w:val="28"/>
              </w:rPr>
              <w:t>а</w:t>
            </w:r>
            <w:r w:rsidRPr="0088021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ции городского округа) на 2022 год в сумме </w:t>
            </w:r>
            <w:r w:rsidR="00163A08" w:rsidRPr="0088021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20 815 786,66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021B">
              <w:rPr>
                <w:rFonts w:ascii="Times New Roman" w:hAnsi="Times New Roman"/>
                <w:spacing w:val="-4"/>
                <w:sz w:val="28"/>
                <w:szCs w:val="28"/>
              </w:rPr>
              <w:t>рублей,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 xml:space="preserve"> на 2023 год в сумме </w:t>
            </w:r>
            <w:r w:rsidRPr="0088021B">
              <w:rPr>
                <w:rFonts w:ascii="Times New Roman" w:hAnsi="Times New Roman"/>
                <w:spacing w:val="-4"/>
                <w:sz w:val="28"/>
                <w:szCs w:val="28"/>
              </w:rPr>
              <w:t>776 587,28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 xml:space="preserve"> рублей и на 2024 год в сумме </w:t>
            </w:r>
            <w:r w:rsidRPr="0088021B">
              <w:rPr>
                <w:rFonts w:ascii="Times New Roman" w:hAnsi="Times New Roman"/>
                <w:spacing w:val="-4"/>
                <w:sz w:val="28"/>
                <w:szCs w:val="28"/>
              </w:rPr>
              <w:t>776 587,28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</w:tc>
      </w:tr>
      <w:tr w:rsidR="0088021B" w:rsidRPr="0088021B" w:rsidTr="0021164A">
        <w:trPr>
          <w:trHeight w:val="583"/>
        </w:trPr>
        <w:tc>
          <w:tcPr>
            <w:tcW w:w="568" w:type="dxa"/>
          </w:tcPr>
          <w:p w:rsidR="00877D3A" w:rsidRPr="0088021B" w:rsidRDefault="00877D3A" w:rsidP="007149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19" w:type="dxa"/>
          </w:tcPr>
          <w:p w:rsidR="00877D3A" w:rsidRPr="0088021B" w:rsidRDefault="00877D3A" w:rsidP="00877D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</w:t>
            </w: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мы п.п.1 п.5.1. части 5</w:t>
            </w:r>
          </w:p>
        </w:tc>
        <w:tc>
          <w:tcPr>
            <w:tcW w:w="6586" w:type="dxa"/>
          </w:tcPr>
          <w:p w:rsidR="00877D3A" w:rsidRPr="0088021B" w:rsidRDefault="00877D3A" w:rsidP="00877D3A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1B">
              <w:rPr>
                <w:rFonts w:ascii="Times New Roman" w:hAnsi="Times New Roman"/>
                <w:sz w:val="28"/>
                <w:szCs w:val="28"/>
              </w:rPr>
              <w:t>1) бюджетных ассигнований на 2022 год в об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ъ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 xml:space="preserve">еме </w:t>
            </w:r>
            <w:r w:rsidRPr="0088021B">
              <w:rPr>
                <w:rFonts w:ascii="Times New Roman" w:hAnsi="Times New Roman"/>
                <w:b/>
                <w:sz w:val="28"/>
                <w:szCs w:val="28"/>
              </w:rPr>
              <w:t>3 580 860,66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 xml:space="preserve"> рублей, на 2023 год в объеме 343 424,63 рублей, на 2024 год в объеме 938 240,73 рублей, предусмотренных финансовому управлению администрации городского округа по разделу «О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б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щегосударственные вопросы», подразделу «Другие общегосударственные вопросы», целевой статье расходов «Обеспечение гарантий лиц, замещающих муниципальные должности и муниципальных сл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у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жащих органов местного самоуправления в соотве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т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ствии с законодательством Ставропольского края, решениями органов местного самоуправления» на финансовое обеспечение дополнительных (иных) гарантий и выплату единовременного поощрения в связи с выходом на страховую пенсию лиц, замещ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а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ющих (замещавших) муниципальные должности и должности муниципальной службы в органах мес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т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ного самоуправления Изобильненского городского округа Ставропольского края, в соответствии с их заявками и на основании нормативных правовых а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к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тов Изобильненского городского округа Ставр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о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польского края;</w:t>
            </w:r>
          </w:p>
        </w:tc>
        <w:tc>
          <w:tcPr>
            <w:tcW w:w="6662" w:type="dxa"/>
          </w:tcPr>
          <w:p w:rsidR="00877D3A" w:rsidRPr="0088021B" w:rsidRDefault="00877D3A" w:rsidP="00E7365F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1B">
              <w:rPr>
                <w:rFonts w:ascii="Times New Roman" w:hAnsi="Times New Roman"/>
                <w:sz w:val="28"/>
                <w:szCs w:val="28"/>
              </w:rPr>
              <w:t>1) бюджетных ассигнований на 2022 год в объ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е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 xml:space="preserve">ме </w:t>
            </w:r>
            <w:r w:rsidR="00E7365F" w:rsidRPr="0088021B">
              <w:rPr>
                <w:rFonts w:ascii="Times New Roman" w:hAnsi="Times New Roman"/>
                <w:b/>
                <w:sz w:val="28"/>
                <w:szCs w:val="28"/>
              </w:rPr>
              <w:t>3 383 636,30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 xml:space="preserve"> рублей, на 2023 год в объеме 343 424,63 рублей, на 2024 год в объеме 938 240,73 рублей, предусмотренных финансовому управлению администрации городского округа по разделу «О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б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щегосударственные вопросы», подразделу «Другие общегосударственные вопросы», целевой статье ра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с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ходов «Обеспечение гарантий лиц, замещающих м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у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ниципальные должности и муниципальных служ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а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щих органов местного самоуправления в соотве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т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ствии с законодательством Ставропольского края, решениями органов местного самоуправления» на финансовое обеспечение дополнительных (иных) г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а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рантий и выплату единовременного поощрения в связи с выходом на страховую пенсию лиц, замещ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а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ющих (замещавших) муниципальные должности и должности муниципальной службы в органах мес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т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ного самоуправления Изобильненского городского округа Ставропольского края, в соответствии с их з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а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явками и на основании нормативных правовых актов Изобильненского городского округа Ставропольск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о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го края;</w:t>
            </w:r>
          </w:p>
        </w:tc>
      </w:tr>
      <w:tr w:rsidR="0088021B" w:rsidRPr="0088021B" w:rsidTr="0021164A">
        <w:trPr>
          <w:trHeight w:val="583"/>
        </w:trPr>
        <w:tc>
          <w:tcPr>
            <w:tcW w:w="568" w:type="dxa"/>
          </w:tcPr>
          <w:p w:rsidR="00877D3A" w:rsidRPr="0088021B" w:rsidRDefault="00877D3A" w:rsidP="00877D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919" w:type="dxa"/>
          </w:tcPr>
          <w:p w:rsidR="00877D3A" w:rsidRPr="0088021B" w:rsidRDefault="00877D3A" w:rsidP="00131E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</w:t>
            </w: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мы п.п.2 п.5.1. части 5</w:t>
            </w:r>
          </w:p>
        </w:tc>
        <w:tc>
          <w:tcPr>
            <w:tcW w:w="6586" w:type="dxa"/>
          </w:tcPr>
          <w:p w:rsidR="00877D3A" w:rsidRPr="0088021B" w:rsidRDefault="00877D3A" w:rsidP="00131EC2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1B">
              <w:rPr>
                <w:rFonts w:ascii="Times New Roman" w:hAnsi="Times New Roman"/>
                <w:sz w:val="28"/>
                <w:szCs w:val="28"/>
              </w:rPr>
              <w:t>2) бюджетных ассигнований на 2022 год в об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ъ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 xml:space="preserve">еме </w:t>
            </w:r>
            <w:r w:rsidRPr="0088021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14 844 085,28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 xml:space="preserve"> рублей, на 2023 год в объеме 776 587,28 рублей, на 2024 год в объеме 776 587,28 рублей, предусмотренных финансовому управлению администрации городского округа по разделу «О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б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щегосударственные вопросы», подразделу «Резер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в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ные фонды» целевой статье расходов «Резервные фонды местных администраций» на финансовое обеспечение проведения непредвиденных расходов, в том числе на проведение аварийно-восстановительных работ и иных мероприятий, св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я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занных с ликвидацией последствий стихийных бе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д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ствий и других чрезвычайных ситуаций на террит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о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рии Изобильненского городского округа Ставр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о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польского края и иных непредвиденных расходов за счет средств резервного фонда администрации г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о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родского округа по решению администрации горо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д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ского округа;</w:t>
            </w:r>
          </w:p>
        </w:tc>
        <w:tc>
          <w:tcPr>
            <w:tcW w:w="6662" w:type="dxa"/>
          </w:tcPr>
          <w:p w:rsidR="00877D3A" w:rsidRPr="0088021B" w:rsidRDefault="00877D3A" w:rsidP="00131EC2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1B">
              <w:rPr>
                <w:rFonts w:ascii="Times New Roman" w:hAnsi="Times New Roman"/>
                <w:sz w:val="28"/>
                <w:szCs w:val="28"/>
              </w:rPr>
              <w:t>2) бюджетных ассигнований на 2022 год в объ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е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 xml:space="preserve">ме </w:t>
            </w:r>
            <w:r w:rsidR="00163A08" w:rsidRPr="0088021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20 815 786,66</w:t>
            </w:r>
            <w:r w:rsidR="00163A08" w:rsidRPr="00880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рублей, на 2023 год в объеме 776 587,28 рублей, на 2024 год в объеме 776 587,28 рублей, предусмотренных финансовому управлению администрации городского округа по разделу «О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б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щегосударственные вопросы», подразделу «Резер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в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ные фонды» целевой статье расходов «Резервные фонды местных администраций» на финансовое обеспечение проведения непредвиденных расходов, в том числе на проведение аварийно-восстановительных работ и иных мероприятий, св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я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занных с ликвидацией последствий стихийных бе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д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ствий и других чрезвычайных ситуаций на террит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о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рии Изобильненского городского округа Ставр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о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польского края и иных непредвиденных расходов за счет средств резервного фонда администрации г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о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родского округа по решению администрации горо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д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ского округа;</w:t>
            </w:r>
          </w:p>
        </w:tc>
      </w:tr>
      <w:tr w:rsidR="0088021B" w:rsidRPr="0088021B" w:rsidTr="00965152">
        <w:trPr>
          <w:trHeight w:val="1718"/>
        </w:trPr>
        <w:tc>
          <w:tcPr>
            <w:tcW w:w="568" w:type="dxa"/>
          </w:tcPr>
          <w:p w:rsidR="00E7365F" w:rsidRPr="0088021B" w:rsidRDefault="00E7365F" w:rsidP="00B974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19" w:type="dxa"/>
          </w:tcPr>
          <w:p w:rsidR="00E7365F" w:rsidRPr="0088021B" w:rsidRDefault="00E7365F" w:rsidP="00E736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</w:t>
            </w: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мы п.п.5 п.5.1. части 5</w:t>
            </w:r>
          </w:p>
        </w:tc>
        <w:tc>
          <w:tcPr>
            <w:tcW w:w="6586" w:type="dxa"/>
          </w:tcPr>
          <w:p w:rsidR="00E7365F" w:rsidRPr="0088021B" w:rsidRDefault="00E7365F" w:rsidP="00877D3A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1B">
              <w:rPr>
                <w:rFonts w:ascii="Times New Roman" w:hAnsi="Times New Roman"/>
                <w:sz w:val="28"/>
                <w:szCs w:val="28"/>
              </w:rPr>
              <w:t>5) бюджетных ассигнований на 2022 год в об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ъ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 xml:space="preserve">еме </w:t>
            </w:r>
            <w:r w:rsidRPr="0088021B">
              <w:rPr>
                <w:rFonts w:ascii="Times New Roman" w:hAnsi="Times New Roman"/>
                <w:b/>
                <w:sz w:val="28"/>
                <w:szCs w:val="28"/>
              </w:rPr>
              <w:t>349 991,00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 xml:space="preserve"> рублей, на 2023 год в объеме 349 991,00 рублей, на 2024 год в объеме 349 991,00 рублей, предусмотренных отделу образования а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д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министрации городского округа по разделу «Обр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а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зование», подразделам «Общее образование» и «Д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о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полнительное образование детей» целевой статье расходов «Расходы на выполнение технического о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б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служивания и ремонта транспортных средств учр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е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ждений образования» на выполнение технического обслуживания и ремонта транспортных средств учреждений образования в порядке, установленном администрацией городского округа;</w:t>
            </w:r>
          </w:p>
        </w:tc>
        <w:tc>
          <w:tcPr>
            <w:tcW w:w="6662" w:type="dxa"/>
          </w:tcPr>
          <w:p w:rsidR="00E7365F" w:rsidRPr="0088021B" w:rsidRDefault="00510229" w:rsidP="00510229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1B">
              <w:rPr>
                <w:rFonts w:ascii="Times New Roman" w:hAnsi="Times New Roman"/>
                <w:sz w:val="28"/>
                <w:szCs w:val="28"/>
              </w:rPr>
              <w:t>5) бюджетных ассигнований на 2022 год в объ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е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 xml:space="preserve">ме </w:t>
            </w:r>
            <w:r w:rsidRPr="0088021B">
              <w:rPr>
                <w:rFonts w:ascii="Times New Roman" w:hAnsi="Times New Roman"/>
                <w:b/>
                <w:sz w:val="28"/>
                <w:szCs w:val="28"/>
              </w:rPr>
              <w:t>330 260,00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 xml:space="preserve"> рублей, на 2023 год в объеме 349 991,00 рублей, на 2024 год в объеме 349 991,00 рублей, предусмотренных отделу образования адм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и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нистрации городского округа по разделу «Образов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а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ние», подразделам «Общее образование» и «Допо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л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нительное образование детей» целевой статье расх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о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дов «Расходы на выполнение технического обслуж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и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вания и ремонта транспортных средств учреждений образования» на выполнение технического обслуж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и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вания и ремонта транспортных средств учреждений образования в порядке, установленном администр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а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цией городского округа;</w:t>
            </w:r>
          </w:p>
        </w:tc>
      </w:tr>
      <w:tr w:rsidR="0088021B" w:rsidRPr="0088021B" w:rsidTr="00965152">
        <w:trPr>
          <w:trHeight w:val="1718"/>
        </w:trPr>
        <w:tc>
          <w:tcPr>
            <w:tcW w:w="568" w:type="dxa"/>
          </w:tcPr>
          <w:p w:rsidR="00E7365F" w:rsidRPr="0088021B" w:rsidRDefault="00E7365F" w:rsidP="00B974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919" w:type="dxa"/>
          </w:tcPr>
          <w:p w:rsidR="00E7365F" w:rsidRPr="0088021B" w:rsidRDefault="00E7365F" w:rsidP="00E736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</w:t>
            </w: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мы п.п.6 п.5.1. части 5</w:t>
            </w:r>
          </w:p>
        </w:tc>
        <w:tc>
          <w:tcPr>
            <w:tcW w:w="6586" w:type="dxa"/>
          </w:tcPr>
          <w:p w:rsidR="00E7365F" w:rsidRPr="0088021B" w:rsidRDefault="00510229" w:rsidP="00877D3A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1B">
              <w:rPr>
                <w:rFonts w:ascii="Times New Roman" w:hAnsi="Times New Roman"/>
                <w:sz w:val="28"/>
                <w:szCs w:val="28"/>
              </w:rPr>
              <w:t>6) бюджетных ассигнований на 2022 год в об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ъ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 xml:space="preserve">еме </w:t>
            </w:r>
            <w:r w:rsidRPr="0088021B">
              <w:rPr>
                <w:rFonts w:ascii="Times New Roman" w:hAnsi="Times New Roman"/>
                <w:b/>
                <w:sz w:val="28"/>
                <w:szCs w:val="28"/>
              </w:rPr>
              <w:t>3 000 000,00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 xml:space="preserve"> рублей, на 2023 год в объеме 2 000 000,00 рублей, на 2024 год в объеме 2 000 000,00 рублей, предусмотренных отделу образования а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д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министрации городского округа по разделу «Обр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а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зование», подразделу «Другие вопросы в области образования», целевой статье расходов «Расходы за счет резервированных средств на финансирование первоочередных расходов учреждений образования при условии привлечения безвозмездных поступл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е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ний» на финансирование первоочередных расходов учреждений образования при условии привлечения безвозмездных поступлений в порядке, установле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н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ном администрацией городского округа;</w:t>
            </w:r>
          </w:p>
        </w:tc>
        <w:tc>
          <w:tcPr>
            <w:tcW w:w="6662" w:type="dxa"/>
          </w:tcPr>
          <w:p w:rsidR="00E7365F" w:rsidRPr="0088021B" w:rsidRDefault="00510229" w:rsidP="00510229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1B">
              <w:rPr>
                <w:rFonts w:ascii="Times New Roman" w:hAnsi="Times New Roman"/>
                <w:sz w:val="28"/>
                <w:szCs w:val="28"/>
              </w:rPr>
              <w:t>6) бюджетных ассигнований на 2022 год в объ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е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 xml:space="preserve">ме </w:t>
            </w:r>
            <w:r w:rsidRPr="0088021B">
              <w:rPr>
                <w:rFonts w:ascii="Times New Roman" w:hAnsi="Times New Roman"/>
                <w:b/>
                <w:sz w:val="28"/>
                <w:szCs w:val="28"/>
              </w:rPr>
              <w:t>2 984 887,30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 xml:space="preserve"> рублей, на 2023 год в объеме 2 000 000,00 рублей, на 2024 год в объеме 2 000 000,00 рублей, предусмотренных отделу образования адм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и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нистрации городского округа по разделу «Образов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а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ние», подразделу «Другие вопросы в области образ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о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вания», целевой статье расходов «Расходы за счет резервированных средств на финансирование перв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о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очередных расходов учреждений образования при условии привлечения безвозмездных поступлений» на финансирование первоочередных расходов учр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е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ждений образования при условии привлечения бе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з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возмездных поступлений в порядке, установленном администрацией городского округа;</w:t>
            </w:r>
          </w:p>
        </w:tc>
      </w:tr>
      <w:tr w:rsidR="0088021B" w:rsidRPr="0088021B" w:rsidTr="00965152">
        <w:trPr>
          <w:trHeight w:val="1718"/>
        </w:trPr>
        <w:tc>
          <w:tcPr>
            <w:tcW w:w="568" w:type="dxa"/>
          </w:tcPr>
          <w:p w:rsidR="00E7365F" w:rsidRPr="0088021B" w:rsidRDefault="00E7365F" w:rsidP="00877D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19" w:type="dxa"/>
          </w:tcPr>
          <w:p w:rsidR="00E7365F" w:rsidRPr="0088021B" w:rsidRDefault="00E7365F" w:rsidP="005C2B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</w:t>
            </w: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мы п.п.8 п.5.1. части 5</w:t>
            </w:r>
          </w:p>
        </w:tc>
        <w:tc>
          <w:tcPr>
            <w:tcW w:w="6586" w:type="dxa"/>
          </w:tcPr>
          <w:p w:rsidR="00E7365F" w:rsidRPr="0088021B" w:rsidRDefault="00E7365F" w:rsidP="0021164A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1B">
              <w:rPr>
                <w:rFonts w:ascii="Times New Roman" w:hAnsi="Times New Roman"/>
                <w:sz w:val="28"/>
                <w:szCs w:val="28"/>
              </w:rPr>
              <w:t>8) бюджетных ассигнований на 2022 год в об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ъ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 xml:space="preserve">еме </w:t>
            </w:r>
            <w:r w:rsidRPr="0088021B">
              <w:rPr>
                <w:rFonts w:ascii="Times New Roman" w:hAnsi="Times New Roman"/>
                <w:b/>
                <w:sz w:val="28"/>
                <w:szCs w:val="28"/>
              </w:rPr>
              <w:t>7 661 000,00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 xml:space="preserve"> рублей, на 2023 год в объеме 0,00 рублей, на 2024 год в объеме 0,00 рублей, пред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у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смотренных финансовому управлению администр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а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ции городского округа по разделу «Общегосуда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р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ственные вопросы», подразделу «Другие общегос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у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дарственные вопросы», целевой статье расходов «Реализация инициативных проектов» на финанс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и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рование реализации инициативных проектов в п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о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рядке, установленном администрацией городского округа.</w:t>
            </w:r>
          </w:p>
        </w:tc>
        <w:tc>
          <w:tcPr>
            <w:tcW w:w="6662" w:type="dxa"/>
          </w:tcPr>
          <w:p w:rsidR="00E7365F" w:rsidRPr="0088021B" w:rsidRDefault="00E7365F" w:rsidP="00415251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1B">
              <w:rPr>
                <w:rFonts w:ascii="Times New Roman" w:hAnsi="Times New Roman"/>
                <w:sz w:val="28"/>
                <w:szCs w:val="28"/>
              </w:rPr>
              <w:t>8) бюджетных ассигнований на 2022 год в объ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е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 xml:space="preserve">ме </w:t>
            </w:r>
            <w:r w:rsidR="00510229" w:rsidRPr="0088021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415251" w:rsidRPr="0088021B">
              <w:rPr>
                <w:rFonts w:ascii="Times New Roman" w:hAnsi="Times New Roman"/>
                <w:b/>
                <w:sz w:val="28"/>
                <w:szCs w:val="28"/>
              </w:rPr>
              <w:t xml:space="preserve"> 902</w:t>
            </w:r>
            <w:r w:rsidR="00510229" w:rsidRPr="0088021B">
              <w:rPr>
                <w:rFonts w:ascii="Times New Roman" w:hAnsi="Times New Roman"/>
                <w:b/>
                <w:sz w:val="28"/>
                <w:szCs w:val="28"/>
              </w:rPr>
              <w:t> 0</w:t>
            </w:r>
            <w:r w:rsidR="00415251" w:rsidRPr="0088021B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  <w:r w:rsidR="00510229" w:rsidRPr="0088021B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415251" w:rsidRPr="0088021B">
              <w:rPr>
                <w:rFonts w:ascii="Times New Roman" w:hAnsi="Times New Roman"/>
                <w:b/>
                <w:sz w:val="28"/>
                <w:szCs w:val="28"/>
              </w:rPr>
              <w:t>61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 xml:space="preserve"> рублей, на 2023 год в объеме 0,00 рублей, на 2024 год в объеме 0,00 рублей, пред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у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смотренных финансовому управлению администр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а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ции городского округа по разделу «Общегосуда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р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ственные вопросы», подразделу «Другие общегос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у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дарственные вопросы», целевой статье расходов «Р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е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ализация инициативных проектов» на финансиров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а</w:t>
            </w:r>
            <w:r w:rsidRPr="0088021B">
              <w:rPr>
                <w:rFonts w:ascii="Times New Roman" w:hAnsi="Times New Roman"/>
                <w:sz w:val="28"/>
                <w:szCs w:val="28"/>
              </w:rPr>
              <w:t>ние реализации инициативных проектов в порядке, установленном администрацией городского округа.</w:t>
            </w:r>
          </w:p>
        </w:tc>
      </w:tr>
      <w:tr w:rsidR="0088021B" w:rsidRPr="0088021B" w:rsidTr="00965152">
        <w:trPr>
          <w:trHeight w:val="1718"/>
        </w:trPr>
        <w:tc>
          <w:tcPr>
            <w:tcW w:w="568" w:type="dxa"/>
          </w:tcPr>
          <w:p w:rsidR="008316A1" w:rsidRPr="0088021B" w:rsidRDefault="008316A1" w:rsidP="00877D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19" w:type="dxa"/>
          </w:tcPr>
          <w:p w:rsidR="008316A1" w:rsidRPr="0088021B" w:rsidRDefault="00B4021E" w:rsidP="00B402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</w:t>
            </w: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мы п.5.5. ч</w:t>
            </w: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8021B">
              <w:rPr>
                <w:rFonts w:ascii="Times New Roman" w:hAnsi="Times New Roman"/>
                <w:sz w:val="28"/>
                <w:szCs w:val="28"/>
                <w:lang w:eastAsia="ru-RU"/>
              </w:rPr>
              <w:t>сти 5</w:t>
            </w:r>
          </w:p>
        </w:tc>
        <w:tc>
          <w:tcPr>
            <w:tcW w:w="6586" w:type="dxa"/>
          </w:tcPr>
          <w:p w:rsidR="008316A1" w:rsidRPr="0088021B" w:rsidRDefault="00FB4375" w:rsidP="0021164A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1B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6662" w:type="dxa"/>
          </w:tcPr>
          <w:p w:rsidR="003F5AD5" w:rsidRPr="0088021B" w:rsidRDefault="003F5AD5" w:rsidP="003F5AD5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021B">
              <w:rPr>
                <w:rFonts w:ascii="Times New Roman" w:hAnsi="Times New Roman"/>
                <w:bCs/>
                <w:sz w:val="28"/>
                <w:szCs w:val="28"/>
              </w:rPr>
              <w:t>5.5. Установить, что доходы бюджета округа от платы за негативное воздействие на окружающую среду, от штрафов, установленных Кодексом Росси</w:t>
            </w:r>
            <w:r w:rsidRPr="0088021B"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 w:rsidRPr="0088021B">
              <w:rPr>
                <w:rFonts w:ascii="Times New Roman" w:hAnsi="Times New Roman"/>
                <w:bCs/>
                <w:sz w:val="28"/>
                <w:szCs w:val="28"/>
              </w:rPr>
              <w:t>ской Федерации об административных правонар</w:t>
            </w:r>
            <w:r w:rsidRPr="0088021B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88021B">
              <w:rPr>
                <w:rFonts w:ascii="Times New Roman" w:hAnsi="Times New Roman"/>
                <w:bCs/>
                <w:sz w:val="28"/>
                <w:szCs w:val="28"/>
              </w:rPr>
              <w:t>шениях за административные правонарушения в о</w:t>
            </w:r>
            <w:r w:rsidRPr="0088021B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88021B">
              <w:rPr>
                <w:rFonts w:ascii="Times New Roman" w:hAnsi="Times New Roman"/>
                <w:bCs/>
                <w:sz w:val="28"/>
                <w:szCs w:val="28"/>
              </w:rPr>
              <w:t>ласти охраны окружающей среды и природопольз</w:t>
            </w:r>
            <w:r w:rsidRPr="0088021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88021B">
              <w:rPr>
                <w:rFonts w:ascii="Times New Roman" w:hAnsi="Times New Roman"/>
                <w:bCs/>
                <w:sz w:val="28"/>
                <w:szCs w:val="28"/>
              </w:rPr>
              <w:t>вания, от административных штрафов, установле</w:t>
            </w:r>
            <w:r w:rsidRPr="0088021B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88021B">
              <w:rPr>
                <w:rFonts w:ascii="Times New Roman" w:hAnsi="Times New Roman"/>
                <w:bCs/>
                <w:sz w:val="28"/>
                <w:szCs w:val="28"/>
              </w:rPr>
              <w:t>ных Законом Ставропольского края "Об администр</w:t>
            </w:r>
            <w:r w:rsidRPr="0088021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88021B">
              <w:rPr>
                <w:rFonts w:ascii="Times New Roman" w:hAnsi="Times New Roman"/>
                <w:bCs/>
                <w:sz w:val="28"/>
                <w:szCs w:val="28"/>
              </w:rPr>
              <w:t xml:space="preserve">тивных правонарушениях в Ставропольском крае" за </w:t>
            </w:r>
            <w:r w:rsidRPr="0088021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административные правонарушения в области охр</w:t>
            </w:r>
            <w:r w:rsidRPr="0088021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88021B">
              <w:rPr>
                <w:rFonts w:ascii="Times New Roman" w:hAnsi="Times New Roman"/>
                <w:bCs/>
                <w:sz w:val="28"/>
                <w:szCs w:val="28"/>
              </w:rPr>
              <w:t>ны окружающей среды и природопользования, от платежей по искам о возмещении вреда, причине</w:t>
            </w:r>
            <w:r w:rsidRPr="0088021B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88021B">
              <w:rPr>
                <w:rFonts w:ascii="Times New Roman" w:hAnsi="Times New Roman"/>
                <w:bCs/>
                <w:sz w:val="28"/>
                <w:szCs w:val="28"/>
              </w:rPr>
              <w:t>ного окружающей среде, в том числе водным объе</w:t>
            </w:r>
            <w:r w:rsidRPr="0088021B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88021B">
              <w:rPr>
                <w:rFonts w:ascii="Times New Roman" w:hAnsi="Times New Roman"/>
                <w:bCs/>
                <w:sz w:val="28"/>
                <w:szCs w:val="28"/>
              </w:rPr>
              <w:t>там, вследствие нарушений обязательных требов</w:t>
            </w:r>
            <w:r w:rsidRPr="0088021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88021B">
              <w:rPr>
                <w:rFonts w:ascii="Times New Roman" w:hAnsi="Times New Roman"/>
                <w:bCs/>
                <w:sz w:val="28"/>
                <w:szCs w:val="28"/>
              </w:rPr>
              <w:t>ний, а также от платежей, уплачиваемых при добр</w:t>
            </w:r>
            <w:r w:rsidRPr="0088021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88021B">
              <w:rPr>
                <w:rFonts w:ascii="Times New Roman" w:hAnsi="Times New Roman"/>
                <w:bCs/>
                <w:sz w:val="28"/>
                <w:szCs w:val="28"/>
              </w:rPr>
              <w:t>вольном возмещении вреда, причиненного окруж</w:t>
            </w:r>
            <w:r w:rsidRPr="0088021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88021B">
              <w:rPr>
                <w:rFonts w:ascii="Times New Roman" w:hAnsi="Times New Roman"/>
                <w:bCs/>
                <w:sz w:val="28"/>
                <w:szCs w:val="28"/>
              </w:rPr>
              <w:t>ющей среде, в том числе водным объектам, всле</w:t>
            </w:r>
            <w:r w:rsidRPr="0088021B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88021B">
              <w:rPr>
                <w:rFonts w:ascii="Times New Roman" w:hAnsi="Times New Roman"/>
                <w:bCs/>
                <w:sz w:val="28"/>
                <w:szCs w:val="28"/>
              </w:rPr>
              <w:t>ствие нарушений обязательных требований, пост</w:t>
            </w:r>
            <w:r w:rsidRPr="0088021B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88021B">
              <w:rPr>
                <w:rFonts w:ascii="Times New Roman" w:hAnsi="Times New Roman"/>
                <w:bCs/>
                <w:sz w:val="28"/>
                <w:szCs w:val="28"/>
              </w:rPr>
              <w:t>пившие в бюджет округа начиная с 01 сентября 2022 года направляются на реализацию мероприятий, ук</w:t>
            </w:r>
            <w:r w:rsidRPr="0088021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88021B">
              <w:rPr>
                <w:rFonts w:ascii="Times New Roman" w:hAnsi="Times New Roman"/>
                <w:bCs/>
                <w:sz w:val="28"/>
                <w:szCs w:val="28"/>
              </w:rPr>
              <w:t>занных в пункте 1 статьи 16.6, пункте 1 статьи 75.1 и пункте 1 статьи 78.2 Федерального закона от 10 я</w:t>
            </w:r>
            <w:r w:rsidRPr="0088021B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88021B">
              <w:rPr>
                <w:rFonts w:ascii="Times New Roman" w:hAnsi="Times New Roman"/>
                <w:bCs/>
                <w:sz w:val="28"/>
                <w:szCs w:val="28"/>
              </w:rPr>
              <w:t>варя 2002 года №7-ФЗ «Об охране окружающей ср</w:t>
            </w:r>
            <w:r w:rsidRPr="0088021B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88021B">
              <w:rPr>
                <w:rFonts w:ascii="Times New Roman" w:hAnsi="Times New Roman"/>
                <w:bCs/>
                <w:sz w:val="28"/>
                <w:szCs w:val="28"/>
              </w:rPr>
              <w:t>ды» (далее – Федеральный закон 7-ФЗ),</w:t>
            </w:r>
            <w:r w:rsidRPr="0088021B">
              <w:rPr>
                <w:rFonts w:ascii="Times New Roman" w:hAnsi="Times New Roman"/>
              </w:rPr>
              <w:t xml:space="preserve"> </w:t>
            </w:r>
            <w:r w:rsidRPr="0088021B">
              <w:rPr>
                <w:rFonts w:ascii="Times New Roman" w:hAnsi="Times New Roman"/>
                <w:bCs/>
                <w:sz w:val="28"/>
                <w:szCs w:val="28"/>
              </w:rPr>
              <w:t>в порядке, установленном бюджетным законодательством Ро</w:t>
            </w:r>
            <w:r w:rsidRPr="0088021B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88021B">
              <w:rPr>
                <w:rFonts w:ascii="Times New Roman" w:hAnsi="Times New Roman"/>
                <w:bCs/>
                <w:sz w:val="28"/>
                <w:szCs w:val="28"/>
              </w:rPr>
              <w:t>сийской Федерации, в соответствии с планом мер</w:t>
            </w:r>
            <w:r w:rsidRPr="0088021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88021B">
              <w:rPr>
                <w:rFonts w:ascii="Times New Roman" w:hAnsi="Times New Roman"/>
                <w:bCs/>
                <w:sz w:val="28"/>
                <w:szCs w:val="28"/>
              </w:rPr>
              <w:t>приятий, указанном в пункте 1 статьи 16.6 Фед</w:t>
            </w:r>
            <w:r w:rsidRPr="0088021B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88021B">
              <w:rPr>
                <w:rFonts w:ascii="Times New Roman" w:hAnsi="Times New Roman"/>
                <w:bCs/>
                <w:sz w:val="28"/>
                <w:szCs w:val="28"/>
              </w:rPr>
              <w:t xml:space="preserve">рального закона 7-ФЗ. </w:t>
            </w:r>
          </w:p>
          <w:p w:rsidR="008316A1" w:rsidRPr="0088021B" w:rsidRDefault="003F5AD5" w:rsidP="003F5AD5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21B">
              <w:rPr>
                <w:rFonts w:ascii="Times New Roman" w:hAnsi="Times New Roman"/>
                <w:bCs/>
                <w:sz w:val="28"/>
                <w:szCs w:val="28"/>
              </w:rPr>
              <w:t>Доходы бюджета округа, указанные в абзаце 1 настоящего пункта носят целевой характер и не м</w:t>
            </w:r>
            <w:r w:rsidRPr="0088021B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88021B">
              <w:rPr>
                <w:rFonts w:ascii="Times New Roman" w:hAnsi="Times New Roman"/>
                <w:bCs/>
                <w:sz w:val="28"/>
                <w:szCs w:val="28"/>
              </w:rPr>
              <w:t>гут быть использованы на цели, не предусмотренные пунктом 1 статьи 16.6, пунктом 1 статьи 75.1 и пун</w:t>
            </w:r>
            <w:r w:rsidRPr="0088021B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88021B">
              <w:rPr>
                <w:rFonts w:ascii="Times New Roman" w:hAnsi="Times New Roman"/>
                <w:bCs/>
                <w:sz w:val="28"/>
                <w:szCs w:val="28"/>
              </w:rPr>
              <w:t>том 1 статьи 78.2 Федерального закона 7-ФЗ.</w:t>
            </w:r>
          </w:p>
        </w:tc>
      </w:tr>
    </w:tbl>
    <w:p w:rsidR="00B123EE" w:rsidRPr="0088021B" w:rsidRDefault="00B123EE">
      <w:pPr>
        <w:spacing w:after="0" w:line="240" w:lineRule="exact"/>
        <w:rPr>
          <w:rFonts w:ascii="Times New Roman" w:hAnsi="Times New Roman"/>
          <w:sz w:val="28"/>
        </w:rPr>
      </w:pPr>
    </w:p>
    <w:p w:rsidR="00965152" w:rsidRPr="0088021B" w:rsidRDefault="00965152">
      <w:pPr>
        <w:spacing w:after="0" w:line="240" w:lineRule="exact"/>
        <w:rPr>
          <w:rFonts w:ascii="Times New Roman" w:hAnsi="Times New Roman"/>
          <w:sz w:val="28"/>
        </w:rPr>
      </w:pPr>
    </w:p>
    <w:p w:rsidR="00965152" w:rsidRPr="0088021B" w:rsidRDefault="00965152">
      <w:pPr>
        <w:spacing w:after="0" w:line="240" w:lineRule="exact"/>
        <w:rPr>
          <w:rFonts w:ascii="Times New Roman" w:hAnsi="Times New Roman"/>
          <w:sz w:val="28"/>
        </w:rPr>
      </w:pPr>
    </w:p>
    <w:p w:rsidR="00E16807" w:rsidRPr="0088021B" w:rsidRDefault="00395386">
      <w:pPr>
        <w:spacing w:after="0" w:line="240" w:lineRule="exact"/>
        <w:rPr>
          <w:rFonts w:ascii="Times New Roman" w:hAnsi="Times New Roman"/>
          <w:sz w:val="28"/>
        </w:rPr>
      </w:pPr>
      <w:r w:rsidRPr="0088021B">
        <w:rPr>
          <w:rFonts w:ascii="Times New Roman" w:hAnsi="Times New Roman"/>
          <w:sz w:val="28"/>
        </w:rPr>
        <w:t>Н</w:t>
      </w:r>
      <w:r w:rsidR="00E16807" w:rsidRPr="0088021B">
        <w:rPr>
          <w:rFonts w:ascii="Times New Roman" w:hAnsi="Times New Roman"/>
          <w:sz w:val="28"/>
        </w:rPr>
        <w:t>ачальник финансового управления</w:t>
      </w:r>
    </w:p>
    <w:p w:rsidR="00E16807" w:rsidRPr="0088021B" w:rsidRDefault="00E16807">
      <w:pPr>
        <w:spacing w:after="0" w:line="240" w:lineRule="exact"/>
        <w:rPr>
          <w:rFonts w:ascii="Times New Roman" w:hAnsi="Times New Roman"/>
          <w:sz w:val="28"/>
        </w:rPr>
      </w:pPr>
      <w:r w:rsidRPr="0088021B">
        <w:rPr>
          <w:rFonts w:ascii="Times New Roman" w:hAnsi="Times New Roman"/>
          <w:sz w:val="28"/>
        </w:rPr>
        <w:t>администрации Изобильненского городского</w:t>
      </w:r>
    </w:p>
    <w:p w:rsidR="00F80D84" w:rsidRPr="0088021B" w:rsidRDefault="00E16807">
      <w:pPr>
        <w:spacing w:after="0" w:line="240" w:lineRule="exact"/>
      </w:pPr>
      <w:r w:rsidRPr="0088021B">
        <w:rPr>
          <w:rFonts w:ascii="Times New Roman" w:hAnsi="Times New Roman"/>
          <w:sz w:val="28"/>
        </w:rPr>
        <w:t>округа Ставропольского края</w:t>
      </w:r>
      <w:r w:rsidRPr="0088021B">
        <w:rPr>
          <w:rFonts w:ascii="Times New Roman" w:hAnsi="Times New Roman"/>
          <w:sz w:val="28"/>
        </w:rPr>
        <w:tab/>
      </w:r>
      <w:r w:rsidRPr="0088021B">
        <w:rPr>
          <w:rFonts w:ascii="Times New Roman" w:hAnsi="Times New Roman"/>
          <w:sz w:val="28"/>
        </w:rPr>
        <w:tab/>
      </w:r>
      <w:r w:rsidRPr="0088021B">
        <w:rPr>
          <w:rFonts w:ascii="Times New Roman" w:hAnsi="Times New Roman"/>
          <w:sz w:val="28"/>
        </w:rPr>
        <w:tab/>
      </w:r>
      <w:r w:rsidRPr="0088021B">
        <w:rPr>
          <w:rFonts w:ascii="Times New Roman" w:hAnsi="Times New Roman"/>
          <w:sz w:val="28"/>
        </w:rPr>
        <w:tab/>
      </w:r>
      <w:r w:rsidR="00395386" w:rsidRPr="0088021B">
        <w:rPr>
          <w:rFonts w:ascii="Times New Roman" w:hAnsi="Times New Roman"/>
          <w:sz w:val="28"/>
        </w:rPr>
        <w:t xml:space="preserve"> </w:t>
      </w:r>
      <w:r w:rsidRPr="0088021B">
        <w:rPr>
          <w:rFonts w:ascii="Times New Roman" w:hAnsi="Times New Roman"/>
          <w:sz w:val="28"/>
        </w:rPr>
        <w:tab/>
      </w:r>
      <w:r w:rsidRPr="0088021B">
        <w:rPr>
          <w:rFonts w:ascii="Times New Roman" w:hAnsi="Times New Roman"/>
          <w:sz w:val="28"/>
        </w:rPr>
        <w:tab/>
      </w:r>
      <w:r w:rsidRPr="0088021B">
        <w:rPr>
          <w:rFonts w:ascii="Times New Roman" w:hAnsi="Times New Roman"/>
          <w:sz w:val="28"/>
        </w:rPr>
        <w:tab/>
      </w:r>
      <w:r w:rsidRPr="0088021B">
        <w:rPr>
          <w:rFonts w:ascii="Times New Roman" w:hAnsi="Times New Roman"/>
          <w:sz w:val="28"/>
        </w:rPr>
        <w:tab/>
      </w:r>
      <w:r w:rsidRPr="0088021B">
        <w:rPr>
          <w:rFonts w:ascii="Times New Roman" w:hAnsi="Times New Roman"/>
          <w:sz w:val="28"/>
        </w:rPr>
        <w:tab/>
      </w:r>
      <w:r w:rsidRPr="0088021B">
        <w:rPr>
          <w:rFonts w:ascii="Times New Roman" w:hAnsi="Times New Roman"/>
          <w:sz w:val="28"/>
        </w:rPr>
        <w:tab/>
      </w:r>
      <w:r w:rsidRPr="0088021B">
        <w:rPr>
          <w:rFonts w:ascii="Times New Roman" w:hAnsi="Times New Roman"/>
          <w:sz w:val="28"/>
        </w:rPr>
        <w:tab/>
        <w:t xml:space="preserve">              </w:t>
      </w:r>
      <w:r w:rsidR="00700B75" w:rsidRPr="0088021B">
        <w:rPr>
          <w:rFonts w:ascii="Times New Roman" w:hAnsi="Times New Roman"/>
          <w:sz w:val="28"/>
        </w:rPr>
        <w:t xml:space="preserve">   </w:t>
      </w:r>
      <w:r w:rsidR="00395386" w:rsidRPr="0088021B">
        <w:rPr>
          <w:rFonts w:ascii="Times New Roman" w:hAnsi="Times New Roman"/>
          <w:sz w:val="28"/>
        </w:rPr>
        <w:t xml:space="preserve">         Л.И.Доброжанова</w:t>
      </w:r>
      <w:bookmarkEnd w:id="0"/>
    </w:p>
    <w:sectPr w:rsidR="00F80D84" w:rsidRPr="0088021B" w:rsidSect="00B123EE">
      <w:headerReference w:type="default" r:id="rId7"/>
      <w:pgSz w:w="16838" w:h="11906" w:orient="landscape"/>
      <w:pgMar w:top="709" w:right="1134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807" w:rsidRDefault="00E16807">
      <w:pPr>
        <w:spacing w:after="0" w:line="240" w:lineRule="auto"/>
      </w:pPr>
      <w:r>
        <w:separator/>
      </w:r>
    </w:p>
  </w:endnote>
  <w:endnote w:type="continuationSeparator" w:id="0">
    <w:p w:rsidR="00E16807" w:rsidRDefault="00E1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807" w:rsidRDefault="00E16807">
      <w:pPr>
        <w:spacing w:after="0" w:line="240" w:lineRule="auto"/>
      </w:pPr>
      <w:r>
        <w:separator/>
      </w:r>
    </w:p>
  </w:footnote>
  <w:footnote w:type="continuationSeparator" w:id="0">
    <w:p w:rsidR="00E16807" w:rsidRDefault="00E16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07" w:rsidRDefault="00A8557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8021B">
      <w:rPr>
        <w:noProof/>
      </w:rPr>
      <w:t>4</w:t>
    </w:r>
    <w:r>
      <w:rPr>
        <w:noProof/>
      </w:rPr>
      <w:fldChar w:fldCharType="end"/>
    </w:r>
  </w:p>
  <w:p w:rsidR="00E16807" w:rsidRDefault="00E168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280"/>
    <w:rsid w:val="00003753"/>
    <w:rsid w:val="00013657"/>
    <w:rsid w:val="0001766C"/>
    <w:rsid w:val="00037177"/>
    <w:rsid w:val="00037F83"/>
    <w:rsid w:val="00054B71"/>
    <w:rsid w:val="000641C0"/>
    <w:rsid w:val="0009665E"/>
    <w:rsid w:val="000A1186"/>
    <w:rsid w:val="000A2EBE"/>
    <w:rsid w:val="000A72C6"/>
    <w:rsid w:val="000B1E3E"/>
    <w:rsid w:val="000C21BA"/>
    <w:rsid w:val="000C4AE7"/>
    <w:rsid w:val="000E12BA"/>
    <w:rsid w:val="000F0CC4"/>
    <w:rsid w:val="000F2C1B"/>
    <w:rsid w:val="00101F31"/>
    <w:rsid w:val="0010281D"/>
    <w:rsid w:val="00107AC3"/>
    <w:rsid w:val="00125534"/>
    <w:rsid w:val="00127152"/>
    <w:rsid w:val="001304D5"/>
    <w:rsid w:val="00130DF8"/>
    <w:rsid w:val="00141D96"/>
    <w:rsid w:val="0015529E"/>
    <w:rsid w:val="00163A08"/>
    <w:rsid w:val="0018002D"/>
    <w:rsid w:val="001849D5"/>
    <w:rsid w:val="001877F3"/>
    <w:rsid w:val="001A3E65"/>
    <w:rsid w:val="001A4FBB"/>
    <w:rsid w:val="001B2F03"/>
    <w:rsid w:val="001B76C2"/>
    <w:rsid w:val="001C5C59"/>
    <w:rsid w:val="001E3EE6"/>
    <w:rsid w:val="001E5A68"/>
    <w:rsid w:val="001E5CAC"/>
    <w:rsid w:val="001F50C1"/>
    <w:rsid w:val="001F76D5"/>
    <w:rsid w:val="0021164A"/>
    <w:rsid w:val="00246A0E"/>
    <w:rsid w:val="00264636"/>
    <w:rsid w:val="002652A7"/>
    <w:rsid w:val="00270AE6"/>
    <w:rsid w:val="00280886"/>
    <w:rsid w:val="002941DA"/>
    <w:rsid w:val="00296387"/>
    <w:rsid w:val="002C28EC"/>
    <w:rsid w:val="002C29B3"/>
    <w:rsid w:val="002C55E7"/>
    <w:rsid w:val="002D1A5C"/>
    <w:rsid w:val="002E03EE"/>
    <w:rsid w:val="002F0E40"/>
    <w:rsid w:val="002F1208"/>
    <w:rsid w:val="003168AD"/>
    <w:rsid w:val="0032760E"/>
    <w:rsid w:val="0033160F"/>
    <w:rsid w:val="00336D9E"/>
    <w:rsid w:val="00346D5D"/>
    <w:rsid w:val="00363B14"/>
    <w:rsid w:val="00372AF1"/>
    <w:rsid w:val="00376636"/>
    <w:rsid w:val="00377B76"/>
    <w:rsid w:val="00395386"/>
    <w:rsid w:val="003A18DC"/>
    <w:rsid w:val="003A3767"/>
    <w:rsid w:val="003B1956"/>
    <w:rsid w:val="003B664D"/>
    <w:rsid w:val="003D4A71"/>
    <w:rsid w:val="003F1FF1"/>
    <w:rsid w:val="003F5AD5"/>
    <w:rsid w:val="003F6D2D"/>
    <w:rsid w:val="004003C0"/>
    <w:rsid w:val="004103F6"/>
    <w:rsid w:val="00415251"/>
    <w:rsid w:val="00415E8B"/>
    <w:rsid w:val="004206F1"/>
    <w:rsid w:val="00427221"/>
    <w:rsid w:val="004433C3"/>
    <w:rsid w:val="00455F85"/>
    <w:rsid w:val="00456010"/>
    <w:rsid w:val="00462C86"/>
    <w:rsid w:val="004801E6"/>
    <w:rsid w:val="0048634C"/>
    <w:rsid w:val="0049269E"/>
    <w:rsid w:val="004A3488"/>
    <w:rsid w:val="004A3BFA"/>
    <w:rsid w:val="004C5D0F"/>
    <w:rsid w:val="004D026B"/>
    <w:rsid w:val="004E29C2"/>
    <w:rsid w:val="004E2B26"/>
    <w:rsid w:val="004E76EF"/>
    <w:rsid w:val="00510229"/>
    <w:rsid w:val="00510DB0"/>
    <w:rsid w:val="005340CA"/>
    <w:rsid w:val="00597D59"/>
    <w:rsid w:val="005A1B0C"/>
    <w:rsid w:val="005A4E4B"/>
    <w:rsid w:val="005B2C0F"/>
    <w:rsid w:val="005C2BFE"/>
    <w:rsid w:val="005C3165"/>
    <w:rsid w:val="005C39EC"/>
    <w:rsid w:val="005E6DA9"/>
    <w:rsid w:val="006052BB"/>
    <w:rsid w:val="006134AC"/>
    <w:rsid w:val="00627A7E"/>
    <w:rsid w:val="006601FA"/>
    <w:rsid w:val="00662478"/>
    <w:rsid w:val="0067439B"/>
    <w:rsid w:val="0067522D"/>
    <w:rsid w:val="00682769"/>
    <w:rsid w:val="00686942"/>
    <w:rsid w:val="00694A19"/>
    <w:rsid w:val="00695BAC"/>
    <w:rsid w:val="006B11D8"/>
    <w:rsid w:val="006B24EB"/>
    <w:rsid w:val="006C3E92"/>
    <w:rsid w:val="006C4D77"/>
    <w:rsid w:val="006E25D7"/>
    <w:rsid w:val="006E2E75"/>
    <w:rsid w:val="006E617F"/>
    <w:rsid w:val="006E685C"/>
    <w:rsid w:val="006F4C15"/>
    <w:rsid w:val="00700B75"/>
    <w:rsid w:val="007044E1"/>
    <w:rsid w:val="00717E12"/>
    <w:rsid w:val="00735212"/>
    <w:rsid w:val="0075783E"/>
    <w:rsid w:val="00766D06"/>
    <w:rsid w:val="0077173E"/>
    <w:rsid w:val="00771F0F"/>
    <w:rsid w:val="00773EF3"/>
    <w:rsid w:val="00792DEF"/>
    <w:rsid w:val="007B4AEF"/>
    <w:rsid w:val="007C3F26"/>
    <w:rsid w:val="007C4CE8"/>
    <w:rsid w:val="007D567B"/>
    <w:rsid w:val="007E08E3"/>
    <w:rsid w:val="007E7F06"/>
    <w:rsid w:val="007F1658"/>
    <w:rsid w:val="00806957"/>
    <w:rsid w:val="00810C66"/>
    <w:rsid w:val="00812947"/>
    <w:rsid w:val="00820B5B"/>
    <w:rsid w:val="008316A1"/>
    <w:rsid w:val="00833227"/>
    <w:rsid w:val="0084233C"/>
    <w:rsid w:val="00874396"/>
    <w:rsid w:val="00877D3A"/>
    <w:rsid w:val="0088021B"/>
    <w:rsid w:val="008A1030"/>
    <w:rsid w:val="008A5441"/>
    <w:rsid w:val="008B391F"/>
    <w:rsid w:val="008B4447"/>
    <w:rsid w:val="008C4DBA"/>
    <w:rsid w:val="008C551E"/>
    <w:rsid w:val="008D6FD6"/>
    <w:rsid w:val="008E31B1"/>
    <w:rsid w:val="008F7A4F"/>
    <w:rsid w:val="00911117"/>
    <w:rsid w:val="00924255"/>
    <w:rsid w:val="00932194"/>
    <w:rsid w:val="00932A7A"/>
    <w:rsid w:val="009459C7"/>
    <w:rsid w:val="009467A2"/>
    <w:rsid w:val="00965152"/>
    <w:rsid w:val="009876E0"/>
    <w:rsid w:val="00990A8A"/>
    <w:rsid w:val="00996335"/>
    <w:rsid w:val="00996CA9"/>
    <w:rsid w:val="009B469C"/>
    <w:rsid w:val="009C15D9"/>
    <w:rsid w:val="009C3624"/>
    <w:rsid w:val="009C468E"/>
    <w:rsid w:val="009E44E4"/>
    <w:rsid w:val="009E7D48"/>
    <w:rsid w:val="009F0882"/>
    <w:rsid w:val="00A057F4"/>
    <w:rsid w:val="00A21E5C"/>
    <w:rsid w:val="00A27FE4"/>
    <w:rsid w:val="00A31891"/>
    <w:rsid w:val="00A42594"/>
    <w:rsid w:val="00A51695"/>
    <w:rsid w:val="00A54D90"/>
    <w:rsid w:val="00A63695"/>
    <w:rsid w:val="00A65685"/>
    <w:rsid w:val="00A85578"/>
    <w:rsid w:val="00A87A46"/>
    <w:rsid w:val="00A921D4"/>
    <w:rsid w:val="00AA0DAD"/>
    <w:rsid w:val="00AB7284"/>
    <w:rsid w:val="00AC4121"/>
    <w:rsid w:val="00AD1D16"/>
    <w:rsid w:val="00AD76A4"/>
    <w:rsid w:val="00AF6AE9"/>
    <w:rsid w:val="00B0272C"/>
    <w:rsid w:val="00B123EE"/>
    <w:rsid w:val="00B15B19"/>
    <w:rsid w:val="00B4021E"/>
    <w:rsid w:val="00B45960"/>
    <w:rsid w:val="00B45A86"/>
    <w:rsid w:val="00B46B29"/>
    <w:rsid w:val="00B54909"/>
    <w:rsid w:val="00B55B76"/>
    <w:rsid w:val="00B57F1B"/>
    <w:rsid w:val="00B67600"/>
    <w:rsid w:val="00B71068"/>
    <w:rsid w:val="00B73041"/>
    <w:rsid w:val="00B85403"/>
    <w:rsid w:val="00B92027"/>
    <w:rsid w:val="00BA1836"/>
    <w:rsid w:val="00BA4F17"/>
    <w:rsid w:val="00BB5DBB"/>
    <w:rsid w:val="00BC3748"/>
    <w:rsid w:val="00BC5F2B"/>
    <w:rsid w:val="00BD6C27"/>
    <w:rsid w:val="00BE2980"/>
    <w:rsid w:val="00BE5DFB"/>
    <w:rsid w:val="00C041DC"/>
    <w:rsid w:val="00C045B5"/>
    <w:rsid w:val="00C11929"/>
    <w:rsid w:val="00C220C5"/>
    <w:rsid w:val="00C22B0E"/>
    <w:rsid w:val="00C37303"/>
    <w:rsid w:val="00C55360"/>
    <w:rsid w:val="00C80AF0"/>
    <w:rsid w:val="00C86B85"/>
    <w:rsid w:val="00CA5698"/>
    <w:rsid w:val="00CC57E2"/>
    <w:rsid w:val="00CD2AD9"/>
    <w:rsid w:val="00CE5B13"/>
    <w:rsid w:val="00CF2624"/>
    <w:rsid w:val="00CF70EE"/>
    <w:rsid w:val="00D01D0B"/>
    <w:rsid w:val="00D077E2"/>
    <w:rsid w:val="00D412CC"/>
    <w:rsid w:val="00D65850"/>
    <w:rsid w:val="00D65AD1"/>
    <w:rsid w:val="00D7464B"/>
    <w:rsid w:val="00D82683"/>
    <w:rsid w:val="00DA1D75"/>
    <w:rsid w:val="00DB6A4F"/>
    <w:rsid w:val="00DC4C46"/>
    <w:rsid w:val="00DD2E38"/>
    <w:rsid w:val="00DD3BBE"/>
    <w:rsid w:val="00DE1581"/>
    <w:rsid w:val="00DE2FE0"/>
    <w:rsid w:val="00DE393B"/>
    <w:rsid w:val="00DE3E52"/>
    <w:rsid w:val="00DF1BA0"/>
    <w:rsid w:val="00E1056E"/>
    <w:rsid w:val="00E13280"/>
    <w:rsid w:val="00E15744"/>
    <w:rsid w:val="00E16807"/>
    <w:rsid w:val="00E210A9"/>
    <w:rsid w:val="00E45BB9"/>
    <w:rsid w:val="00E54B6F"/>
    <w:rsid w:val="00E6034C"/>
    <w:rsid w:val="00E67447"/>
    <w:rsid w:val="00E7365F"/>
    <w:rsid w:val="00E82188"/>
    <w:rsid w:val="00EA0A88"/>
    <w:rsid w:val="00EC645D"/>
    <w:rsid w:val="00ED4981"/>
    <w:rsid w:val="00ED4E09"/>
    <w:rsid w:val="00ED58A5"/>
    <w:rsid w:val="00F20C9A"/>
    <w:rsid w:val="00F2435B"/>
    <w:rsid w:val="00F33B43"/>
    <w:rsid w:val="00F45281"/>
    <w:rsid w:val="00F65D26"/>
    <w:rsid w:val="00F71335"/>
    <w:rsid w:val="00F73A60"/>
    <w:rsid w:val="00F80D84"/>
    <w:rsid w:val="00F8314E"/>
    <w:rsid w:val="00F86971"/>
    <w:rsid w:val="00F9444E"/>
    <w:rsid w:val="00FA7003"/>
    <w:rsid w:val="00FB4375"/>
    <w:rsid w:val="00FD006A"/>
    <w:rsid w:val="00FD2958"/>
    <w:rsid w:val="00FD4FB1"/>
    <w:rsid w:val="00FD593F"/>
    <w:rsid w:val="00FE1FD3"/>
    <w:rsid w:val="00FF1615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8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132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99"/>
    <w:qFormat/>
    <w:rsid w:val="00E13280"/>
    <w:rPr>
      <w:lang w:eastAsia="en-US"/>
    </w:rPr>
  </w:style>
  <w:style w:type="paragraph" w:styleId="a4">
    <w:name w:val="header"/>
    <w:basedOn w:val="a"/>
    <w:link w:val="a5"/>
    <w:uiPriority w:val="99"/>
    <w:rsid w:val="00E1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13280"/>
    <w:rPr>
      <w:rFonts w:cs="Times New Roman"/>
    </w:rPr>
  </w:style>
  <w:style w:type="paragraph" w:styleId="a6">
    <w:name w:val="footer"/>
    <w:basedOn w:val="a"/>
    <w:link w:val="a7"/>
    <w:uiPriority w:val="99"/>
    <w:rsid w:val="00E1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1328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1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1328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5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408</cp:revision>
  <cp:lastPrinted>2022-06-02T12:10:00Z</cp:lastPrinted>
  <dcterms:created xsi:type="dcterms:W3CDTF">2018-01-17T15:10:00Z</dcterms:created>
  <dcterms:modified xsi:type="dcterms:W3CDTF">2022-10-13T11:53:00Z</dcterms:modified>
</cp:coreProperties>
</file>