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200100" w:rsidTr="004C1C91">
        <w:trPr>
          <w:trHeight w:val="709"/>
        </w:trPr>
        <w:tc>
          <w:tcPr>
            <w:tcW w:w="5353" w:type="dxa"/>
          </w:tcPr>
          <w:p w:rsidR="000A37B2" w:rsidRPr="00200100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0A37B2" w:rsidRPr="00200100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200100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37B2" w:rsidRPr="00200100" w:rsidRDefault="00AD3495" w:rsidP="00786263">
            <w:pPr>
              <w:pStyle w:val="a3"/>
              <w:jc w:val="left"/>
              <w:rPr>
                <w:bCs/>
                <w:szCs w:val="28"/>
              </w:rPr>
            </w:pPr>
            <w:r w:rsidRPr="00200100">
              <w:rPr>
                <w:bCs/>
                <w:szCs w:val="28"/>
              </w:rPr>
              <w:t>Председателю Думы</w:t>
            </w:r>
          </w:p>
          <w:p w:rsidR="000A37B2" w:rsidRPr="00200100" w:rsidRDefault="000A37B2" w:rsidP="00786263">
            <w:pPr>
              <w:pStyle w:val="a3"/>
              <w:jc w:val="left"/>
              <w:rPr>
                <w:bCs/>
                <w:szCs w:val="28"/>
              </w:rPr>
            </w:pPr>
            <w:r w:rsidRPr="00200100">
              <w:rPr>
                <w:bCs/>
                <w:szCs w:val="28"/>
              </w:rPr>
              <w:t xml:space="preserve">Изобильненского </w:t>
            </w:r>
            <w:r w:rsidR="00AD3495" w:rsidRPr="00200100">
              <w:rPr>
                <w:bCs/>
                <w:szCs w:val="28"/>
              </w:rPr>
              <w:t>городского округа</w:t>
            </w:r>
            <w:r w:rsidRPr="00200100">
              <w:rPr>
                <w:bCs/>
                <w:szCs w:val="28"/>
              </w:rPr>
              <w:t xml:space="preserve"> Ставропольского края</w:t>
            </w:r>
          </w:p>
          <w:p w:rsidR="000A37B2" w:rsidRPr="00200100" w:rsidRDefault="00AD3495" w:rsidP="00786263">
            <w:pPr>
              <w:pStyle w:val="a3"/>
              <w:jc w:val="left"/>
              <w:rPr>
                <w:b/>
                <w:bCs/>
                <w:szCs w:val="28"/>
              </w:rPr>
            </w:pPr>
            <w:r w:rsidRPr="00200100">
              <w:rPr>
                <w:bCs/>
                <w:szCs w:val="28"/>
              </w:rPr>
              <w:t>А.М.Рогову</w:t>
            </w:r>
            <w:r w:rsidR="000A37B2" w:rsidRPr="00200100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0A37B2" w:rsidRPr="00200100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63" w:rsidRPr="00200100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200100" w:rsidRDefault="000A37B2" w:rsidP="00200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0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37B2" w:rsidRPr="00200100" w:rsidRDefault="00AD3495" w:rsidP="002001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00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200100">
        <w:rPr>
          <w:rFonts w:ascii="Times New Roman" w:hAnsi="Times New Roman" w:cs="Times New Roman"/>
          <w:b/>
          <w:sz w:val="28"/>
          <w:szCs w:val="28"/>
        </w:rPr>
        <w:t>счетного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00">
        <w:rPr>
          <w:rFonts w:ascii="Times New Roman" w:hAnsi="Times New Roman" w:cs="Times New Roman"/>
          <w:b/>
          <w:sz w:val="28"/>
          <w:szCs w:val="28"/>
        </w:rPr>
        <w:t>органа Изобильненского городского округа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Pr="0020010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Pr="0020010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20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Изобильненского </w:t>
      </w:r>
      <w:r w:rsidRPr="0020010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9263C" w:rsidRPr="00200100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2D81" w:rsidRPr="002001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71AEE" w:rsidRPr="0020010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F2D81" w:rsidRPr="0020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1DC" w:rsidRPr="00200100">
        <w:rPr>
          <w:rFonts w:ascii="Times New Roman" w:hAnsi="Times New Roman" w:cs="Times New Roman"/>
          <w:b/>
          <w:sz w:val="28"/>
          <w:szCs w:val="28"/>
        </w:rPr>
        <w:t>9</w:t>
      </w:r>
      <w:r w:rsidR="000A37B2" w:rsidRPr="0020010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200100">
        <w:rPr>
          <w:rFonts w:ascii="Times New Roman" w:hAnsi="Times New Roman" w:cs="Times New Roman"/>
          <w:b/>
          <w:sz w:val="28"/>
          <w:szCs w:val="28"/>
        </w:rPr>
        <w:t>.</w:t>
      </w:r>
    </w:p>
    <w:p w:rsidR="000A37B2" w:rsidRPr="00200100" w:rsidRDefault="000A37B2" w:rsidP="00200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F5" w:rsidRPr="00200100" w:rsidRDefault="000A37B2" w:rsidP="00200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1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0100">
        <w:rPr>
          <w:rFonts w:ascii="Times New Roman" w:hAnsi="Times New Roman" w:cs="Times New Roman"/>
          <w:sz w:val="28"/>
          <w:szCs w:val="28"/>
        </w:rPr>
        <w:t xml:space="preserve">Настоящее заключение на проект </w:t>
      </w:r>
      <w:r w:rsidR="001E2D13" w:rsidRPr="00200100">
        <w:rPr>
          <w:rFonts w:ascii="Times New Roman" w:hAnsi="Times New Roman" w:cs="Times New Roman"/>
          <w:sz w:val="28"/>
          <w:szCs w:val="28"/>
        </w:rPr>
        <w:t>решения Думы</w:t>
      </w:r>
      <w:r w:rsidR="00AC23DC" w:rsidRPr="00200100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200100">
        <w:rPr>
          <w:rFonts w:ascii="Times New Roman" w:hAnsi="Times New Roman" w:cs="Times New Roman"/>
          <w:sz w:val="28"/>
          <w:szCs w:val="28"/>
        </w:rPr>
        <w:t xml:space="preserve"> «Об исполнении бюджета Изобильненского </w:t>
      </w:r>
      <w:r w:rsidR="00AD3495" w:rsidRPr="00200100">
        <w:rPr>
          <w:rFonts w:ascii="Times New Roman" w:hAnsi="Times New Roman" w:cs="Times New Roman"/>
          <w:sz w:val="28"/>
          <w:szCs w:val="28"/>
        </w:rPr>
        <w:t>городского окр</w:t>
      </w:r>
      <w:r w:rsidR="001D137F" w:rsidRPr="00200100">
        <w:rPr>
          <w:rFonts w:ascii="Times New Roman" w:hAnsi="Times New Roman" w:cs="Times New Roman"/>
          <w:sz w:val="28"/>
          <w:szCs w:val="28"/>
        </w:rPr>
        <w:t>у</w:t>
      </w:r>
      <w:r w:rsidR="00AD3495" w:rsidRPr="00200100">
        <w:rPr>
          <w:rFonts w:ascii="Times New Roman" w:hAnsi="Times New Roman" w:cs="Times New Roman"/>
          <w:sz w:val="28"/>
          <w:szCs w:val="28"/>
        </w:rPr>
        <w:t>га</w:t>
      </w:r>
      <w:r w:rsidR="00C9263C" w:rsidRPr="0020010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00100">
        <w:rPr>
          <w:rFonts w:ascii="Times New Roman" w:hAnsi="Times New Roman" w:cs="Times New Roman"/>
          <w:sz w:val="28"/>
          <w:szCs w:val="28"/>
        </w:rPr>
        <w:t xml:space="preserve"> за  </w:t>
      </w:r>
      <w:r w:rsidR="00D90BAE" w:rsidRPr="00200100">
        <w:rPr>
          <w:rFonts w:ascii="Times New Roman" w:hAnsi="Times New Roman" w:cs="Times New Roman"/>
          <w:sz w:val="28"/>
          <w:szCs w:val="28"/>
        </w:rPr>
        <w:t xml:space="preserve">1 </w:t>
      </w:r>
      <w:r w:rsidR="00971AEE" w:rsidRPr="00200100">
        <w:rPr>
          <w:rFonts w:ascii="Times New Roman" w:hAnsi="Times New Roman" w:cs="Times New Roman"/>
          <w:sz w:val="28"/>
          <w:szCs w:val="28"/>
        </w:rPr>
        <w:t>полугодие</w:t>
      </w:r>
      <w:r w:rsidR="00D90BAE" w:rsidRPr="00200100">
        <w:rPr>
          <w:rFonts w:ascii="Times New Roman" w:hAnsi="Times New Roman" w:cs="Times New Roman"/>
          <w:sz w:val="28"/>
          <w:szCs w:val="28"/>
        </w:rPr>
        <w:t xml:space="preserve"> </w:t>
      </w:r>
      <w:r w:rsidRPr="00200100">
        <w:rPr>
          <w:rFonts w:ascii="Times New Roman" w:hAnsi="Times New Roman" w:cs="Times New Roman"/>
          <w:sz w:val="28"/>
          <w:szCs w:val="28"/>
        </w:rPr>
        <w:t xml:space="preserve"> 201</w:t>
      </w:r>
      <w:r w:rsidR="002E61DC" w:rsidRPr="00200100">
        <w:rPr>
          <w:rFonts w:ascii="Times New Roman" w:hAnsi="Times New Roman" w:cs="Times New Roman"/>
          <w:sz w:val="28"/>
          <w:szCs w:val="28"/>
        </w:rPr>
        <w:t>9</w:t>
      </w:r>
      <w:r w:rsidRPr="00200100">
        <w:rPr>
          <w:rFonts w:ascii="Times New Roman" w:hAnsi="Times New Roman" w:cs="Times New Roman"/>
          <w:sz w:val="28"/>
          <w:szCs w:val="28"/>
        </w:rPr>
        <w:t xml:space="preserve"> года»  подготовлено в соответствии </w:t>
      </w:r>
      <w:r w:rsidR="001E2D13" w:rsidRPr="00200100">
        <w:rPr>
          <w:rFonts w:ascii="Times New Roman" w:hAnsi="Times New Roman" w:cs="Times New Roman"/>
          <w:sz w:val="28"/>
          <w:szCs w:val="28"/>
        </w:rPr>
        <w:t xml:space="preserve">со статьей 264.2 Бюджетного кодекса Российской Федерации, Уставом Изобильненского городского округа Ставропольского края, «Положением о бюджетном процессе в Изобильненском  городском округе Ставропольского края», утвержденным решением Думы Изобильненского городского округа Ставропольского края от </w:t>
      </w:r>
      <w:r w:rsidR="000B595C" w:rsidRPr="00200100">
        <w:rPr>
          <w:rFonts w:ascii="Times New Roman" w:hAnsi="Times New Roman" w:cs="Times New Roman"/>
          <w:sz w:val="28"/>
          <w:szCs w:val="28"/>
        </w:rPr>
        <w:t>27</w:t>
      </w:r>
      <w:r w:rsidR="001E2D13" w:rsidRPr="00200100">
        <w:rPr>
          <w:rFonts w:ascii="Times New Roman" w:hAnsi="Times New Roman" w:cs="Times New Roman"/>
          <w:sz w:val="28"/>
          <w:szCs w:val="28"/>
        </w:rPr>
        <w:t>.1</w:t>
      </w:r>
      <w:r w:rsidR="000B595C" w:rsidRPr="00200100">
        <w:rPr>
          <w:rFonts w:ascii="Times New Roman" w:hAnsi="Times New Roman" w:cs="Times New Roman"/>
          <w:sz w:val="28"/>
          <w:szCs w:val="28"/>
        </w:rPr>
        <w:t>0</w:t>
      </w:r>
      <w:r w:rsidR="001E2D13" w:rsidRPr="0020010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B595C" w:rsidRPr="00200100">
        <w:rPr>
          <w:rFonts w:ascii="Times New Roman" w:hAnsi="Times New Roman" w:cs="Times New Roman"/>
          <w:sz w:val="28"/>
          <w:szCs w:val="28"/>
        </w:rPr>
        <w:t>34</w:t>
      </w:r>
      <w:r w:rsidR="001E2D13" w:rsidRPr="00200100">
        <w:rPr>
          <w:rFonts w:ascii="Times New Roman" w:hAnsi="Times New Roman" w:cs="Times New Roman"/>
          <w:sz w:val="28"/>
          <w:szCs w:val="28"/>
        </w:rPr>
        <w:t>, «Положением</w:t>
      </w:r>
      <w:proofErr w:type="gramEnd"/>
      <w:r w:rsidR="001E2D13" w:rsidRPr="0020010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 Изобильненского городского округа», утвержденным решение Думы Изобильненского городского округа Ставропольского края от </w:t>
      </w:r>
      <w:r w:rsidR="000B595C" w:rsidRPr="00200100">
        <w:rPr>
          <w:rFonts w:ascii="Times New Roman" w:hAnsi="Times New Roman" w:cs="Times New Roman"/>
          <w:sz w:val="28"/>
          <w:szCs w:val="28"/>
        </w:rPr>
        <w:t>17.11.2017 №55</w:t>
      </w:r>
      <w:r w:rsidR="001E2D13" w:rsidRPr="00200100">
        <w:rPr>
          <w:rFonts w:ascii="Times New Roman" w:hAnsi="Times New Roman" w:cs="Times New Roman"/>
          <w:sz w:val="28"/>
          <w:szCs w:val="28"/>
        </w:rPr>
        <w:t xml:space="preserve"> на основании материалов, представленных администрацией Изобильненского городского округа Ставропольского края</w:t>
      </w:r>
      <w:r w:rsidRPr="00200100">
        <w:rPr>
          <w:rFonts w:ascii="Times New Roman" w:hAnsi="Times New Roman" w:cs="Times New Roman"/>
          <w:sz w:val="28"/>
          <w:szCs w:val="28"/>
        </w:rPr>
        <w:t>.</w:t>
      </w:r>
    </w:p>
    <w:p w:rsidR="000A37B2" w:rsidRPr="00200100" w:rsidRDefault="000A37B2" w:rsidP="002001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100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200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20010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00100">
        <w:rPr>
          <w:rFonts w:ascii="Times New Roman" w:hAnsi="Times New Roman" w:cs="Times New Roman"/>
          <w:sz w:val="28"/>
          <w:szCs w:val="28"/>
        </w:rPr>
        <w:t xml:space="preserve">за </w:t>
      </w:r>
      <w:r w:rsidR="00D90BAE" w:rsidRPr="00200100">
        <w:rPr>
          <w:rFonts w:ascii="Times New Roman" w:hAnsi="Times New Roman" w:cs="Times New Roman"/>
          <w:sz w:val="28"/>
          <w:szCs w:val="28"/>
        </w:rPr>
        <w:t xml:space="preserve">1 </w:t>
      </w:r>
      <w:r w:rsidR="00971AEE" w:rsidRPr="00200100">
        <w:rPr>
          <w:rFonts w:ascii="Times New Roman" w:hAnsi="Times New Roman" w:cs="Times New Roman"/>
          <w:sz w:val="28"/>
          <w:szCs w:val="28"/>
        </w:rPr>
        <w:t>полугодие</w:t>
      </w:r>
      <w:r w:rsidR="00D90BAE" w:rsidRPr="00200100">
        <w:rPr>
          <w:rFonts w:ascii="Times New Roman" w:hAnsi="Times New Roman" w:cs="Times New Roman"/>
          <w:sz w:val="28"/>
          <w:szCs w:val="28"/>
        </w:rPr>
        <w:t xml:space="preserve"> </w:t>
      </w:r>
      <w:r w:rsidRPr="00200100">
        <w:rPr>
          <w:rFonts w:ascii="Times New Roman" w:hAnsi="Times New Roman" w:cs="Times New Roman"/>
          <w:sz w:val="28"/>
          <w:szCs w:val="28"/>
        </w:rPr>
        <w:t xml:space="preserve"> 201</w:t>
      </w:r>
      <w:r w:rsidR="002E61DC" w:rsidRPr="00200100">
        <w:rPr>
          <w:rFonts w:ascii="Times New Roman" w:hAnsi="Times New Roman" w:cs="Times New Roman"/>
          <w:sz w:val="28"/>
          <w:szCs w:val="28"/>
        </w:rPr>
        <w:t>9</w:t>
      </w:r>
      <w:r w:rsidRPr="00200100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200100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20010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00100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:rsidR="00AE0CF5" w:rsidRPr="00200100" w:rsidRDefault="00AE0CF5" w:rsidP="00AE0CF5">
      <w:pPr>
        <w:pStyle w:val="a3"/>
        <w:ind w:firstLine="709"/>
        <w:rPr>
          <w:bCs/>
          <w:szCs w:val="28"/>
        </w:rPr>
      </w:pPr>
      <w:proofErr w:type="gramStart"/>
      <w:r w:rsidRPr="00200100">
        <w:rPr>
          <w:bCs/>
          <w:szCs w:val="28"/>
        </w:rPr>
        <w:t>Решением Думы Изобильненского городского округа Ставропольского края от 2</w:t>
      </w:r>
      <w:r w:rsidR="000B595C" w:rsidRPr="00200100">
        <w:rPr>
          <w:bCs/>
          <w:szCs w:val="28"/>
        </w:rPr>
        <w:t>1</w:t>
      </w:r>
      <w:r w:rsidRPr="00200100">
        <w:rPr>
          <w:szCs w:val="28"/>
        </w:rPr>
        <w:t xml:space="preserve"> декабря 2018 года № </w:t>
      </w:r>
      <w:r w:rsidR="000B595C" w:rsidRPr="00200100">
        <w:rPr>
          <w:szCs w:val="28"/>
        </w:rPr>
        <w:t>210</w:t>
      </w:r>
      <w:r w:rsidRPr="00200100">
        <w:rPr>
          <w:szCs w:val="28"/>
        </w:rPr>
        <w:t xml:space="preserve"> «</w:t>
      </w:r>
      <w:r w:rsidRPr="00200100">
        <w:rPr>
          <w:szCs w:val="28"/>
          <w:lang w:val="en-US"/>
        </w:rPr>
        <w:t>O</w:t>
      </w:r>
      <w:r w:rsidRPr="00200100">
        <w:rPr>
          <w:szCs w:val="28"/>
        </w:rPr>
        <w:t xml:space="preserve"> бюджете Изобильненского городского округа Ставропольского края на 2019 год и плановый период 2020 и 2021 годов» (далее – решение о бюджете) </w:t>
      </w:r>
      <w:r w:rsidRPr="00200100">
        <w:rPr>
          <w:bCs/>
          <w:szCs w:val="28"/>
        </w:rPr>
        <w:t xml:space="preserve">утверждены основные характеристики бюджета на 2019 год: по доходам в сумме </w:t>
      </w:r>
      <w:r w:rsidR="000B595C" w:rsidRPr="00200100">
        <w:rPr>
          <w:spacing w:val="-8"/>
          <w:szCs w:val="28"/>
        </w:rPr>
        <w:t>1 981 029 522,49</w:t>
      </w:r>
      <w:r w:rsidRPr="00200100">
        <w:rPr>
          <w:spacing w:val="-8"/>
          <w:szCs w:val="28"/>
        </w:rPr>
        <w:t xml:space="preserve"> </w:t>
      </w:r>
      <w:r w:rsidRPr="00200100">
        <w:rPr>
          <w:bCs/>
          <w:szCs w:val="28"/>
        </w:rPr>
        <w:t xml:space="preserve">рублей, по расходам – </w:t>
      </w:r>
      <w:r w:rsidR="000B595C" w:rsidRPr="00200100">
        <w:rPr>
          <w:spacing w:val="-8"/>
          <w:szCs w:val="28"/>
        </w:rPr>
        <w:t>2 007 742 972,77</w:t>
      </w:r>
      <w:r w:rsidRPr="00200100">
        <w:rPr>
          <w:bCs/>
          <w:szCs w:val="28"/>
        </w:rPr>
        <w:t xml:space="preserve"> рублей, дефицит бюджета </w:t>
      </w:r>
      <w:r w:rsidR="000B595C" w:rsidRPr="00200100">
        <w:rPr>
          <w:bCs/>
          <w:color w:val="FF0000"/>
          <w:szCs w:val="28"/>
        </w:rPr>
        <w:t>–</w:t>
      </w:r>
      <w:r w:rsidRPr="00200100">
        <w:rPr>
          <w:bCs/>
          <w:color w:val="FF0000"/>
          <w:szCs w:val="28"/>
        </w:rPr>
        <w:t xml:space="preserve"> </w:t>
      </w:r>
      <w:r w:rsidR="000B595C" w:rsidRPr="00200100">
        <w:rPr>
          <w:bCs/>
          <w:szCs w:val="28"/>
        </w:rPr>
        <w:t>26</w:t>
      </w:r>
      <w:proofErr w:type="gramEnd"/>
      <w:r w:rsidR="000B595C" w:rsidRPr="00200100">
        <w:rPr>
          <w:bCs/>
          <w:szCs w:val="28"/>
        </w:rPr>
        <w:t> 713 450,28</w:t>
      </w:r>
      <w:r w:rsidRPr="00200100">
        <w:rPr>
          <w:bCs/>
          <w:szCs w:val="28"/>
        </w:rPr>
        <w:t xml:space="preserve"> рублей.</w:t>
      </w:r>
    </w:p>
    <w:p w:rsidR="00532328" w:rsidRPr="00200100" w:rsidRDefault="00AE0CF5" w:rsidP="00457B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В процессе исполнения бюджета решениями Думы Изобильненского городского округа Ставропольского края </w:t>
      </w:r>
      <w:r w:rsidR="00532328"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вносились </w:t>
      </w: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изменения в решение о бюджете. </w:t>
      </w:r>
      <w:r w:rsidR="00531842"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В отчете об исполнении бюджета за 1 полугодие 2019 года плановые бюджетные назначения по доходам составляют </w:t>
      </w:r>
      <w:r w:rsidR="00532328" w:rsidRPr="00200100">
        <w:rPr>
          <w:rFonts w:ascii="Times New Roman" w:hAnsi="Times New Roman" w:cs="Times New Roman"/>
          <w:spacing w:val="-8"/>
          <w:sz w:val="28"/>
          <w:szCs w:val="28"/>
        </w:rPr>
        <w:t>2 139 990,46</w:t>
      </w: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по расходам – </w:t>
      </w:r>
      <w:r w:rsidR="00532328" w:rsidRPr="00200100">
        <w:rPr>
          <w:rFonts w:ascii="Times New Roman" w:hAnsi="Times New Roman" w:cs="Times New Roman"/>
          <w:spacing w:val="-8"/>
          <w:sz w:val="28"/>
          <w:szCs w:val="28"/>
        </w:rPr>
        <w:t>2 318 809,8</w:t>
      </w: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дефицит бюджета</w:t>
      </w:r>
      <w:r w:rsidR="00D83539"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BF7817" w:rsidRPr="00200100">
        <w:rPr>
          <w:rFonts w:ascii="Times New Roman" w:hAnsi="Times New Roman" w:cs="Times New Roman"/>
          <w:spacing w:val="-8"/>
          <w:sz w:val="28"/>
          <w:szCs w:val="28"/>
        </w:rPr>
        <w:t>92,608</w:t>
      </w:r>
      <w:r w:rsidRPr="0020010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рублей.</w:t>
      </w:r>
    </w:p>
    <w:p w:rsidR="00457B97" w:rsidRPr="00200100" w:rsidRDefault="00457B97" w:rsidP="00457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5D" w:rsidRPr="00200100" w:rsidRDefault="00DD235D" w:rsidP="00457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00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DD235D" w:rsidRPr="00917737" w:rsidRDefault="00DD235D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00">
        <w:rPr>
          <w:rFonts w:ascii="Times New Roman" w:hAnsi="Times New Roman" w:cs="Times New Roman"/>
          <w:sz w:val="28"/>
          <w:szCs w:val="28"/>
        </w:rPr>
        <w:t xml:space="preserve">В бюджет Изобильненского городского округа Ставропольского края (далее – бюджет городского округа) за 1 полугодие 2019 года при </w:t>
      </w:r>
      <w:r w:rsidRPr="00200100">
        <w:rPr>
          <w:rFonts w:ascii="Times New Roman" w:hAnsi="Times New Roman" w:cs="Times New Roman"/>
          <w:sz w:val="28"/>
          <w:szCs w:val="28"/>
        </w:rPr>
        <w:lastRenderedPageBreak/>
        <w:t xml:space="preserve">уточненном годовом плане </w:t>
      </w:r>
      <w:r w:rsidR="00457B97" w:rsidRPr="00200100">
        <w:rPr>
          <w:rFonts w:ascii="Times New Roman" w:hAnsi="Times New Roman" w:cs="Times New Roman"/>
          <w:sz w:val="28"/>
          <w:szCs w:val="28"/>
        </w:rPr>
        <w:t>2 139 990,46</w:t>
      </w:r>
      <w:r w:rsidRPr="00200100">
        <w:rPr>
          <w:rFonts w:ascii="Times New Roman" w:hAnsi="Times New Roman" w:cs="Times New Roman"/>
          <w:sz w:val="28"/>
          <w:szCs w:val="28"/>
        </w:rPr>
        <w:t xml:space="preserve"> тыс. рублей доходов поступило </w:t>
      </w:r>
      <w:r w:rsidR="00326C0A" w:rsidRPr="00200100">
        <w:rPr>
          <w:rFonts w:ascii="Times New Roman" w:eastAsia="Calibri" w:hAnsi="Times New Roman" w:cs="Times New Roman"/>
          <w:sz w:val="28"/>
          <w:szCs w:val="28"/>
          <w:lang w:eastAsia="en-US"/>
        </w:rPr>
        <w:t>1 008 237,69</w:t>
      </w:r>
      <w:r w:rsidRPr="00200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0100">
        <w:rPr>
          <w:rFonts w:ascii="Times New Roman" w:hAnsi="Times New Roman" w:cs="Times New Roman"/>
          <w:sz w:val="28"/>
          <w:szCs w:val="28"/>
        </w:rPr>
        <w:t xml:space="preserve">тыс. рублей, уровень исполнения составил </w:t>
      </w:r>
      <w:r w:rsidR="00326C0A" w:rsidRPr="00200100">
        <w:rPr>
          <w:rFonts w:ascii="Times New Roman" w:hAnsi="Times New Roman" w:cs="Times New Roman"/>
          <w:sz w:val="28"/>
          <w:szCs w:val="28"/>
        </w:rPr>
        <w:t>47,11%</w:t>
      </w:r>
      <w:r w:rsidRPr="00200100">
        <w:rPr>
          <w:rFonts w:ascii="Times New Roman" w:hAnsi="Times New Roman" w:cs="Times New Roman"/>
          <w:sz w:val="28"/>
          <w:szCs w:val="28"/>
        </w:rPr>
        <w:t xml:space="preserve">. Плановые назначения по доходам на  1 </w:t>
      </w:r>
      <w:r w:rsidR="007B58AB" w:rsidRPr="0020010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00100">
        <w:rPr>
          <w:rFonts w:ascii="Times New Roman" w:hAnsi="Times New Roman" w:cs="Times New Roman"/>
          <w:sz w:val="28"/>
          <w:szCs w:val="28"/>
        </w:rPr>
        <w:t xml:space="preserve"> 201</w:t>
      </w:r>
      <w:r w:rsidR="007B58AB" w:rsidRPr="00200100">
        <w:rPr>
          <w:rFonts w:ascii="Times New Roman" w:hAnsi="Times New Roman" w:cs="Times New Roman"/>
          <w:sz w:val="28"/>
          <w:szCs w:val="28"/>
        </w:rPr>
        <w:t>9</w:t>
      </w:r>
      <w:r w:rsidRPr="0020010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B58AB" w:rsidRPr="00200100">
        <w:rPr>
          <w:rFonts w:ascii="Times New Roman" w:hAnsi="Times New Roman" w:cs="Times New Roman"/>
          <w:sz w:val="28"/>
          <w:szCs w:val="28"/>
        </w:rPr>
        <w:t>1 00</w:t>
      </w:r>
      <w:r w:rsidR="00903C0C">
        <w:rPr>
          <w:rFonts w:ascii="Times New Roman" w:hAnsi="Times New Roman" w:cs="Times New Roman"/>
          <w:sz w:val="28"/>
          <w:szCs w:val="28"/>
        </w:rPr>
        <w:t>0</w:t>
      </w:r>
      <w:r w:rsidR="007B58AB" w:rsidRPr="00200100">
        <w:rPr>
          <w:rFonts w:ascii="Times New Roman" w:hAnsi="Times New Roman" w:cs="Times New Roman"/>
          <w:sz w:val="28"/>
          <w:szCs w:val="28"/>
        </w:rPr>
        <w:t> 847,30</w:t>
      </w:r>
      <w:r w:rsidRPr="00200100">
        <w:rPr>
          <w:rFonts w:ascii="Times New Roman" w:hAnsi="Times New Roman" w:cs="Times New Roman"/>
          <w:sz w:val="28"/>
          <w:szCs w:val="28"/>
        </w:rPr>
        <w:t xml:space="preserve"> тыс.</w:t>
      </w:r>
      <w:r w:rsidR="00917737" w:rsidRPr="00200100">
        <w:rPr>
          <w:rFonts w:ascii="Times New Roman" w:hAnsi="Times New Roman" w:cs="Times New Roman"/>
          <w:sz w:val="28"/>
          <w:szCs w:val="28"/>
        </w:rPr>
        <w:t xml:space="preserve"> </w:t>
      </w:r>
      <w:r w:rsidRPr="00200100">
        <w:rPr>
          <w:rFonts w:ascii="Times New Roman" w:hAnsi="Times New Roman" w:cs="Times New Roman"/>
          <w:sz w:val="28"/>
          <w:szCs w:val="28"/>
        </w:rPr>
        <w:t>рублей) обеспечены на 100,</w:t>
      </w:r>
      <w:r w:rsidR="00326C0A" w:rsidRPr="00200100">
        <w:rPr>
          <w:rFonts w:ascii="Times New Roman" w:hAnsi="Times New Roman" w:cs="Times New Roman"/>
          <w:sz w:val="28"/>
          <w:szCs w:val="28"/>
        </w:rPr>
        <w:t>74</w:t>
      </w:r>
      <w:r w:rsidRPr="00200100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</w:t>
      </w:r>
      <w:r w:rsidRPr="00917737">
        <w:rPr>
          <w:rFonts w:ascii="Times New Roman" w:hAnsi="Times New Roman" w:cs="Times New Roman"/>
          <w:sz w:val="28"/>
          <w:szCs w:val="28"/>
        </w:rPr>
        <w:t xml:space="preserve"> составило +</w:t>
      </w:r>
      <w:r w:rsidR="00326C0A" w:rsidRPr="0091773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26C0A" w:rsidRPr="00917737">
        <w:rPr>
          <w:rFonts w:ascii="Times New Roman" w:hAnsi="Times New Roman" w:cs="Times New Roman"/>
          <w:sz w:val="28"/>
          <w:szCs w:val="28"/>
        </w:rPr>
        <w:t> 390,38</w:t>
      </w:r>
      <w:r w:rsidRPr="0091773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2018 года в 2019 году произошел рост поступлений доходов  на  55</w:t>
      </w:r>
      <w:r w:rsidR="00917737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276</w:t>
      </w:r>
      <w:r w:rsidR="00917737">
        <w:rPr>
          <w:rFonts w:ascii="Times New Roman" w:hAnsi="Times New Roman" w:cs="Times New Roman"/>
          <w:sz w:val="28"/>
          <w:szCs w:val="28"/>
        </w:rPr>
        <w:t>,</w:t>
      </w:r>
      <w:r w:rsidR="001059CF" w:rsidRPr="00917737">
        <w:rPr>
          <w:rFonts w:ascii="Times New Roman" w:hAnsi="Times New Roman" w:cs="Times New Roman"/>
          <w:sz w:val="28"/>
          <w:szCs w:val="28"/>
        </w:rPr>
        <w:t> </w:t>
      </w:r>
      <w:r w:rsidR="00917737">
        <w:rPr>
          <w:rFonts w:ascii="Times New Roman" w:hAnsi="Times New Roman" w:cs="Times New Roman"/>
          <w:sz w:val="28"/>
          <w:szCs w:val="28"/>
        </w:rPr>
        <w:t>20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7737">
        <w:rPr>
          <w:rFonts w:ascii="Times New Roman" w:hAnsi="Times New Roman" w:cs="Times New Roman"/>
          <w:sz w:val="28"/>
          <w:szCs w:val="28"/>
        </w:rPr>
        <w:t>ей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или на 5,80 процента. В том числе налоговые доходы возросли на 73</w:t>
      </w:r>
      <w:r w:rsidR="00917737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326</w:t>
      </w:r>
      <w:r w:rsidR="00917737">
        <w:rPr>
          <w:rFonts w:ascii="Times New Roman" w:hAnsi="Times New Roman" w:cs="Times New Roman"/>
          <w:sz w:val="28"/>
          <w:szCs w:val="28"/>
        </w:rPr>
        <w:t>,</w:t>
      </w:r>
      <w:r w:rsidR="001059CF" w:rsidRPr="00917737">
        <w:rPr>
          <w:rFonts w:ascii="Times New Roman" w:hAnsi="Times New Roman" w:cs="Times New Roman"/>
          <w:sz w:val="28"/>
          <w:szCs w:val="28"/>
        </w:rPr>
        <w:t>26</w:t>
      </w:r>
      <w:r w:rsidR="00917737">
        <w:rPr>
          <w:rFonts w:ascii="Times New Roman" w:hAnsi="Times New Roman" w:cs="Times New Roman"/>
          <w:sz w:val="28"/>
          <w:szCs w:val="28"/>
        </w:rPr>
        <w:t xml:space="preserve">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 рубл</w:t>
      </w:r>
      <w:r w:rsidR="00917737">
        <w:rPr>
          <w:rFonts w:ascii="Times New Roman" w:hAnsi="Times New Roman" w:cs="Times New Roman"/>
          <w:sz w:val="28"/>
          <w:szCs w:val="28"/>
        </w:rPr>
        <w:t>ей</w:t>
      </w:r>
      <w:r w:rsidR="00880710">
        <w:rPr>
          <w:rFonts w:ascii="Times New Roman" w:hAnsi="Times New Roman" w:cs="Times New Roman"/>
          <w:sz w:val="28"/>
          <w:szCs w:val="28"/>
        </w:rPr>
        <w:t xml:space="preserve"> (в условиях 2018 ода)</w:t>
      </w:r>
      <w:r w:rsidR="001059CF" w:rsidRPr="00917737">
        <w:rPr>
          <w:rFonts w:ascii="Times New Roman" w:hAnsi="Times New Roman" w:cs="Times New Roman"/>
          <w:sz w:val="28"/>
          <w:szCs w:val="28"/>
        </w:rPr>
        <w:t>, неналоговые на  3</w:t>
      </w:r>
      <w:r w:rsidR="00917737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355</w:t>
      </w:r>
      <w:r w:rsidR="00917737">
        <w:rPr>
          <w:rFonts w:ascii="Times New Roman" w:hAnsi="Times New Roman" w:cs="Times New Roman"/>
          <w:sz w:val="28"/>
          <w:szCs w:val="28"/>
        </w:rPr>
        <w:t>,42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7737">
        <w:rPr>
          <w:rFonts w:ascii="Times New Roman" w:hAnsi="Times New Roman" w:cs="Times New Roman"/>
          <w:sz w:val="28"/>
          <w:szCs w:val="28"/>
        </w:rPr>
        <w:t>ей</w:t>
      </w:r>
      <w:r w:rsidR="001059CF" w:rsidRPr="00917737">
        <w:rPr>
          <w:rFonts w:ascii="Times New Roman" w:hAnsi="Times New Roman" w:cs="Times New Roman"/>
          <w:sz w:val="28"/>
          <w:szCs w:val="28"/>
        </w:rPr>
        <w:t>, безвозмездные поступления сократились на 21</w:t>
      </w:r>
      <w:r w:rsidR="00917737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405</w:t>
      </w:r>
      <w:r w:rsidR="00917737">
        <w:rPr>
          <w:rFonts w:ascii="Times New Roman" w:hAnsi="Times New Roman" w:cs="Times New Roman"/>
          <w:sz w:val="28"/>
          <w:szCs w:val="28"/>
        </w:rPr>
        <w:t>,48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7737">
        <w:rPr>
          <w:rFonts w:ascii="Times New Roman" w:hAnsi="Times New Roman" w:cs="Times New Roman"/>
          <w:sz w:val="28"/>
          <w:szCs w:val="28"/>
        </w:rPr>
        <w:t>ей</w:t>
      </w:r>
      <w:r w:rsidR="001059CF" w:rsidRPr="00917737">
        <w:rPr>
          <w:rFonts w:ascii="Times New Roman" w:hAnsi="Times New Roman" w:cs="Times New Roman"/>
          <w:sz w:val="28"/>
          <w:szCs w:val="28"/>
        </w:rPr>
        <w:t>.</w:t>
      </w:r>
    </w:p>
    <w:p w:rsidR="00613810" w:rsidRPr="00917737" w:rsidRDefault="00DD235D" w:rsidP="0061381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737">
        <w:rPr>
          <w:rFonts w:ascii="Times New Roman" w:hAnsi="Times New Roman" w:cs="Times New Roman"/>
          <w:sz w:val="28"/>
          <w:szCs w:val="28"/>
        </w:rPr>
        <w:t>Исполнение и структура доходной части бюджета городского округа</w:t>
      </w:r>
    </w:p>
    <w:p w:rsidR="00DD235D" w:rsidRPr="00917737" w:rsidRDefault="00DD235D" w:rsidP="0061381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737">
        <w:rPr>
          <w:rFonts w:ascii="Times New Roman" w:hAnsi="Times New Roman" w:cs="Times New Roman"/>
          <w:sz w:val="28"/>
          <w:szCs w:val="28"/>
        </w:rPr>
        <w:t>за 1 полугодие 2019 года</w:t>
      </w:r>
      <w:r w:rsidR="00B452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9639" w:type="dxa"/>
        <w:tblInd w:w="96" w:type="dxa"/>
        <w:tblLook w:val="04A0"/>
      </w:tblPr>
      <w:tblGrid>
        <w:gridCol w:w="4123"/>
        <w:gridCol w:w="1492"/>
        <w:gridCol w:w="1627"/>
        <w:gridCol w:w="1321"/>
        <w:gridCol w:w="1076"/>
      </w:tblGrid>
      <w:tr w:rsidR="00B45268" w:rsidRPr="008B72D5" w:rsidTr="008E6A3B">
        <w:trPr>
          <w:trHeight w:val="207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5268" w:rsidRPr="00A716BD" w:rsidRDefault="00B45268" w:rsidP="00B4526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716BD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Уточненные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показатели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на 2019 год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тыс</w:t>
            </w:r>
            <w:proofErr w:type="gramStart"/>
            <w:r w:rsidRPr="00B45268">
              <w:rPr>
                <w:rFonts w:ascii="Times New Roman" w:hAnsi="Times New Roman" w:cs="Times New Roman"/>
              </w:rPr>
              <w:t>.р</w:t>
            </w:r>
            <w:proofErr w:type="gramEnd"/>
            <w:r w:rsidRPr="00B4526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Исполнено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за 1 полугодие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2019 года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5268">
              <w:rPr>
                <w:rFonts w:ascii="Times New Roman" w:hAnsi="Times New Roman" w:cs="Times New Roman"/>
              </w:rPr>
              <w:t>тыс</w:t>
            </w:r>
            <w:proofErr w:type="gramStart"/>
            <w:r w:rsidRPr="00B45268">
              <w:rPr>
                <w:rFonts w:ascii="Times New Roman" w:hAnsi="Times New Roman" w:cs="Times New Roman"/>
              </w:rPr>
              <w:t>.р</w:t>
            </w:r>
            <w:proofErr w:type="gramEnd"/>
            <w:r w:rsidRPr="00B4526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5268">
              <w:rPr>
                <w:rFonts w:ascii="Times New Roman" w:hAnsi="Times New Roman" w:cs="Times New Roman"/>
                <w:color w:val="000000"/>
              </w:rPr>
              <w:t>Уровень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5268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5268">
              <w:rPr>
                <w:rFonts w:ascii="Times New Roman" w:hAnsi="Times New Roman" w:cs="Times New Roman"/>
                <w:color w:val="000000"/>
              </w:rPr>
              <w:t>бюджета, %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5268">
              <w:rPr>
                <w:rFonts w:ascii="Times New Roman" w:hAnsi="Times New Roman" w:cs="Times New Roman"/>
                <w:color w:val="000000"/>
              </w:rPr>
              <w:t>Доля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5268">
              <w:rPr>
                <w:rFonts w:ascii="Times New Roman" w:hAnsi="Times New Roman" w:cs="Times New Roman"/>
                <w:color w:val="000000"/>
              </w:rPr>
              <w:t>в общем объеме</w:t>
            </w:r>
          </w:p>
          <w:p w:rsidR="00B45268" w:rsidRPr="00B45268" w:rsidRDefault="00B45268" w:rsidP="00B452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5268">
              <w:rPr>
                <w:rFonts w:ascii="Times New Roman" w:hAnsi="Times New Roman" w:cs="Times New Roman"/>
                <w:color w:val="000000"/>
              </w:rPr>
              <w:t>доходов, %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:rsidR="00DD235D" w:rsidRPr="00A716BD" w:rsidRDefault="00DD235D" w:rsidP="00404A2C">
            <w:pPr>
              <w:rPr>
                <w:rFonts w:ascii="Times New Roman" w:hAnsi="Times New Roman" w:cs="Times New Roman"/>
                <w:color w:val="000000"/>
              </w:rPr>
            </w:pPr>
            <w:r w:rsidRPr="00A716BD">
              <w:rPr>
                <w:rFonts w:ascii="Times New Roman" w:hAnsi="Times New Roman" w:cs="Times New Roman"/>
                <w:color w:val="000000"/>
              </w:rPr>
              <w:t xml:space="preserve">НАЛОГОВЫЕ </w:t>
            </w:r>
            <w:r w:rsidR="00404A2C" w:rsidRPr="00A716BD">
              <w:rPr>
                <w:rFonts w:ascii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A716BD" w:rsidRDefault="00A716BD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sz w:val="24"/>
                <w:szCs w:val="24"/>
              </w:rPr>
              <w:t>579 701,64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A716BD" w:rsidRDefault="00A716BD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sz w:val="24"/>
                <w:szCs w:val="24"/>
              </w:rPr>
              <w:t>252 079,65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823650" w:rsidRDefault="00823650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50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613810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823650" w:rsidRDefault="00823650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50">
              <w:rPr>
                <w:rFonts w:ascii="Times New Roman" w:hAnsi="Times New Roman" w:cs="Times New Roman"/>
                <w:sz w:val="24"/>
                <w:szCs w:val="24"/>
              </w:rPr>
              <w:t>387 205,45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823650" w:rsidRDefault="00823650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50">
              <w:rPr>
                <w:rFonts w:ascii="Times New Roman" w:hAnsi="Times New Roman" w:cs="Times New Roman"/>
                <w:sz w:val="24"/>
                <w:szCs w:val="24"/>
              </w:rPr>
              <w:t>172 575,47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823650" w:rsidRDefault="00823650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50"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D235D" w:rsidRPr="008B72D5" w:rsidTr="00B45268">
        <w:trPr>
          <w:trHeight w:val="6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9302E1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28 864,31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15 234,00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DD235D" w:rsidP="00114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14EEC" w:rsidRPr="0011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468,18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627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25 873,63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113 663,70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33 630,087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4 765,67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DD235D" w:rsidP="00114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4EEC" w:rsidRPr="0011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A2C" w:rsidRPr="008B72D5" w:rsidTr="00B45268">
        <w:trPr>
          <w:trHeight w:val="6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2C" w:rsidRPr="00A716BD" w:rsidRDefault="00404A2C" w:rsidP="00AC29D7">
            <w:pPr>
              <w:rPr>
                <w:rFonts w:ascii="Times New Roman" w:hAnsi="Times New Roman" w:cs="Times New Roman"/>
                <w:color w:val="000000"/>
              </w:rPr>
            </w:pPr>
            <w:r w:rsidRPr="00A716BD">
              <w:rPr>
                <w:rFonts w:ascii="Times New Roman" w:hAnsi="Times New Roman" w:cs="Times New Roman"/>
                <w:color w:val="000000"/>
              </w:rPr>
              <w:t>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6271B3" w:rsidRDefault="006271B3" w:rsidP="00627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46 213,39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38 113,61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35D" w:rsidRPr="008B72D5" w:rsidTr="00B45268">
        <w:trPr>
          <w:trHeight w:val="6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18 194,54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23 253,85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127,81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1 537,58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479,73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6271B3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3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D235D" w:rsidRPr="008B72D5" w:rsidTr="00B4526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E56141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18 067,89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E56141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9 544,05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E56141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114EEC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35D" w:rsidRPr="008B72D5" w:rsidTr="00B4526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E56141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705,58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956,57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135,57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DD235D" w:rsidP="00114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4EEC" w:rsidRPr="0011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санкции, возмещение </w:t>
            </w: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7 543,39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3 489,28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DD235D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4EEC" w:rsidRPr="0011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164,41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390,13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237,28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114EEC" w:rsidRDefault="00DD235D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EE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4EEC" w:rsidRPr="00114E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04A2C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2C" w:rsidRPr="00AA59FE" w:rsidRDefault="00404A2C" w:rsidP="00AC29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A59FE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AA59FE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FE">
              <w:rPr>
                <w:rFonts w:ascii="Times New Roman" w:hAnsi="Times New Roman" w:cs="Times New Roman"/>
                <w:sz w:val="24"/>
                <w:szCs w:val="24"/>
              </w:rPr>
              <w:t>625 915,03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AA59FE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FE">
              <w:rPr>
                <w:rFonts w:ascii="Times New Roman" w:hAnsi="Times New Roman" w:cs="Times New Roman"/>
                <w:sz w:val="24"/>
                <w:szCs w:val="24"/>
              </w:rPr>
              <w:t>290 193,26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AA59FE" w:rsidRDefault="006271B3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FE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2C" w:rsidRPr="00AA59FE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FE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</w:rPr>
            </w:pPr>
            <w:r w:rsidRPr="00A716BD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1 514 075,44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718 044,43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47,42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bottom"/>
            <w:hideMark/>
          </w:tcPr>
          <w:p w:rsidR="00DD235D" w:rsidRPr="007B58AB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83 892,47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41 946,23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7B58AB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485 170,12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154 381,55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7B58AB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930 366,99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523 714,53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56,29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7B58AB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1 223,84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743,85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7B58AB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20 577,31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4 511,23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7B58AB" w:rsidRDefault="007B58AB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безвозмездных поступлений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-7 155,30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-7 252,96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AC29D7" w:rsidRDefault="00AC29D7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hAnsi="Times New Roman" w:cs="Times New Roman"/>
                <w:sz w:val="24"/>
                <w:szCs w:val="24"/>
              </w:rPr>
              <w:t>101,36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D" w:rsidRPr="007B58AB" w:rsidRDefault="00DD235D" w:rsidP="00AC2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B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DD235D" w:rsidRPr="008B72D5" w:rsidTr="00B4526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bottom"/>
            <w:hideMark/>
          </w:tcPr>
          <w:p w:rsidR="00DD235D" w:rsidRPr="00A716BD" w:rsidRDefault="00DD235D" w:rsidP="00AC29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bottom"/>
            <w:hideMark/>
          </w:tcPr>
          <w:p w:rsidR="00DD235D" w:rsidRPr="00A716BD" w:rsidRDefault="00404A2C" w:rsidP="00AC29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2 139 990,46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bottom"/>
            <w:hideMark/>
          </w:tcPr>
          <w:p w:rsidR="00DD235D" w:rsidRPr="00A716BD" w:rsidRDefault="00A716BD" w:rsidP="00A716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1 008 237,69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bottom"/>
            <w:hideMark/>
          </w:tcPr>
          <w:p w:rsidR="00DD235D" w:rsidRPr="00A716BD" w:rsidRDefault="00A716BD" w:rsidP="00AC29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bottom"/>
            <w:hideMark/>
          </w:tcPr>
          <w:p w:rsidR="00DD235D" w:rsidRPr="00A716BD" w:rsidRDefault="00DD235D" w:rsidP="00AC29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3703C6" w:rsidRDefault="003703C6" w:rsidP="00DD235D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5D" w:rsidRPr="00917737" w:rsidRDefault="00DD235D" w:rsidP="00AB3F15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3C6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</w:t>
      </w:r>
      <w:r w:rsidRPr="00917737">
        <w:rPr>
          <w:rFonts w:ascii="Times New Roman" w:eastAsia="Times New Roman" w:hAnsi="Times New Roman" w:cs="Times New Roman"/>
          <w:sz w:val="28"/>
          <w:szCs w:val="28"/>
        </w:rPr>
        <w:t xml:space="preserve">  доходы  бюджета  муниципального  района на  01.07.2019  года при годовом  плане  </w:t>
      </w:r>
      <w:r w:rsidR="007B58AB" w:rsidRPr="00917737">
        <w:rPr>
          <w:rFonts w:ascii="Times New Roman" w:hAnsi="Times New Roman" w:cs="Times New Roman"/>
          <w:sz w:val="28"/>
          <w:szCs w:val="28"/>
        </w:rPr>
        <w:t>625 915,03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</w:t>
      </w:r>
      <w:r w:rsidRPr="00917737">
        <w:rPr>
          <w:rFonts w:ascii="Times New Roman" w:eastAsia="Times New Roman" w:hAnsi="Times New Roman" w:cs="Times New Roman"/>
          <w:sz w:val="28"/>
          <w:szCs w:val="28"/>
        </w:rPr>
        <w:t xml:space="preserve">тыс. рублей,  фактически  поступили в сумме  </w:t>
      </w:r>
      <w:r w:rsidR="00AA59FE" w:rsidRPr="00917737">
        <w:rPr>
          <w:rFonts w:ascii="Times New Roman" w:hAnsi="Times New Roman" w:cs="Times New Roman"/>
          <w:sz w:val="28"/>
          <w:szCs w:val="28"/>
        </w:rPr>
        <w:t>290 193,26</w:t>
      </w:r>
      <w:r w:rsidR="00AA59FE">
        <w:rPr>
          <w:rFonts w:ascii="Times New Roman" w:hAnsi="Times New Roman" w:cs="Times New Roman"/>
          <w:sz w:val="28"/>
          <w:szCs w:val="28"/>
        </w:rPr>
        <w:t xml:space="preserve"> </w:t>
      </w:r>
      <w:r w:rsidRPr="00917737">
        <w:rPr>
          <w:rFonts w:ascii="Times New Roman" w:eastAsia="Times New Roman" w:hAnsi="Times New Roman" w:cs="Times New Roman"/>
          <w:sz w:val="28"/>
          <w:szCs w:val="28"/>
        </w:rPr>
        <w:t>тыс. руб.,    исполнение  составило</w:t>
      </w:r>
      <w:r w:rsidR="00AA59FE">
        <w:rPr>
          <w:rFonts w:ascii="Times New Roman" w:eastAsia="Times New Roman" w:hAnsi="Times New Roman" w:cs="Times New Roman"/>
          <w:sz w:val="28"/>
          <w:szCs w:val="28"/>
        </w:rPr>
        <w:t xml:space="preserve"> 46,36</w:t>
      </w:r>
      <w:r w:rsidRPr="00917737">
        <w:rPr>
          <w:rFonts w:ascii="Times New Roman" w:eastAsia="Times New Roman" w:hAnsi="Times New Roman" w:cs="Times New Roman"/>
          <w:sz w:val="28"/>
          <w:szCs w:val="28"/>
        </w:rPr>
        <w:t xml:space="preserve">  процента к годовому  плану.</w:t>
      </w:r>
      <w:r w:rsidRPr="00917737">
        <w:rPr>
          <w:rFonts w:ascii="Times New Roman" w:hAnsi="Times New Roman" w:cs="Times New Roman"/>
          <w:sz w:val="28"/>
          <w:szCs w:val="28"/>
        </w:rPr>
        <w:t xml:space="preserve"> В структуре доходов, поступивших в бюджет городского округа, собственные доходы </w:t>
      </w:r>
      <w:r w:rsidRPr="00AA59FE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7B58AB" w:rsidRPr="00AA59FE">
        <w:rPr>
          <w:rFonts w:ascii="Times New Roman" w:hAnsi="Times New Roman" w:cs="Times New Roman"/>
          <w:sz w:val="28"/>
          <w:szCs w:val="28"/>
        </w:rPr>
        <w:t>28,78</w:t>
      </w:r>
      <w:r w:rsidRPr="00917737">
        <w:rPr>
          <w:rFonts w:ascii="Times New Roman" w:hAnsi="Times New Roman" w:cs="Times New Roman"/>
          <w:sz w:val="28"/>
          <w:szCs w:val="28"/>
        </w:rPr>
        <w:t>%.</w:t>
      </w:r>
    </w:p>
    <w:p w:rsidR="001059CF" w:rsidRPr="00917737" w:rsidRDefault="00BD00AC" w:rsidP="00AB3F15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737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380AAC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917737">
        <w:rPr>
          <w:rFonts w:ascii="Times New Roman" w:hAnsi="Times New Roman" w:cs="Times New Roman"/>
          <w:sz w:val="28"/>
          <w:szCs w:val="28"/>
        </w:rPr>
        <w:t xml:space="preserve"> (далее – НДФЛ), удельный вес которого составляет  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59,47 </w:t>
      </w:r>
      <w:r w:rsidRPr="00917737">
        <w:rPr>
          <w:rFonts w:ascii="Times New Roman" w:hAnsi="Times New Roman" w:cs="Times New Roman"/>
          <w:sz w:val="28"/>
          <w:szCs w:val="28"/>
        </w:rPr>
        <w:t xml:space="preserve">процента от общей суммы налоговых и неналоговых доходов, поступивших в бюджет городского округа. Исполнение годовых плановых назначений обеспечено на </w:t>
      </w:r>
      <w:r w:rsidR="001059CF" w:rsidRPr="00917737">
        <w:rPr>
          <w:rFonts w:ascii="Times New Roman" w:hAnsi="Times New Roman" w:cs="Times New Roman"/>
          <w:sz w:val="28"/>
          <w:szCs w:val="28"/>
        </w:rPr>
        <w:t>44,57</w:t>
      </w:r>
      <w:r w:rsidRPr="00917737">
        <w:rPr>
          <w:rFonts w:ascii="Times New Roman" w:hAnsi="Times New Roman" w:cs="Times New Roman"/>
          <w:sz w:val="28"/>
          <w:szCs w:val="28"/>
        </w:rPr>
        <w:t xml:space="preserve"> процента. План I полугодия 2019 года выполнен на </w:t>
      </w:r>
      <w:r w:rsidR="001059CF" w:rsidRPr="00917737">
        <w:rPr>
          <w:rFonts w:ascii="Times New Roman" w:hAnsi="Times New Roman" w:cs="Times New Roman"/>
          <w:sz w:val="28"/>
          <w:szCs w:val="28"/>
        </w:rPr>
        <w:t>96,88</w:t>
      </w:r>
      <w:r w:rsidRPr="0091773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059CF" w:rsidRPr="00917737">
        <w:rPr>
          <w:rFonts w:ascii="Times New Roman" w:hAnsi="Times New Roman" w:cs="Times New Roman"/>
          <w:sz w:val="28"/>
          <w:szCs w:val="28"/>
        </w:rPr>
        <w:t>. При годовом плане в размере 387</w:t>
      </w:r>
      <w:r w:rsidR="003703C6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205</w:t>
      </w:r>
      <w:r w:rsidR="003703C6">
        <w:rPr>
          <w:rFonts w:ascii="Times New Roman" w:hAnsi="Times New Roman" w:cs="Times New Roman"/>
          <w:sz w:val="28"/>
          <w:szCs w:val="28"/>
        </w:rPr>
        <w:t>,46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03C6">
        <w:rPr>
          <w:rFonts w:ascii="Times New Roman" w:hAnsi="Times New Roman" w:cs="Times New Roman"/>
          <w:sz w:val="28"/>
          <w:szCs w:val="28"/>
        </w:rPr>
        <w:t>ей</w:t>
      </w:r>
      <w:r w:rsidR="001059CF" w:rsidRPr="00917737">
        <w:rPr>
          <w:rFonts w:ascii="Times New Roman" w:hAnsi="Times New Roman" w:cs="Times New Roman"/>
          <w:sz w:val="28"/>
          <w:szCs w:val="28"/>
        </w:rPr>
        <w:t>, плане доходов I полугодия 2019 года в размере 178</w:t>
      </w:r>
      <w:r w:rsidR="003703C6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129</w:t>
      </w:r>
      <w:r w:rsidR="003703C6">
        <w:rPr>
          <w:rFonts w:ascii="Times New Roman" w:hAnsi="Times New Roman" w:cs="Times New Roman"/>
          <w:sz w:val="28"/>
          <w:szCs w:val="28"/>
        </w:rPr>
        <w:t>,20 тыс.</w:t>
      </w:r>
      <w:r w:rsidR="00200100">
        <w:rPr>
          <w:rFonts w:ascii="Times New Roman" w:hAnsi="Times New Roman" w:cs="Times New Roman"/>
          <w:sz w:val="28"/>
          <w:szCs w:val="28"/>
        </w:rPr>
        <w:t xml:space="preserve"> </w:t>
      </w:r>
      <w:r w:rsidR="001059CF" w:rsidRPr="00917737">
        <w:rPr>
          <w:rFonts w:ascii="Times New Roman" w:hAnsi="Times New Roman" w:cs="Times New Roman"/>
          <w:sz w:val="28"/>
          <w:szCs w:val="28"/>
        </w:rPr>
        <w:t>рубл</w:t>
      </w:r>
      <w:r w:rsidR="003703C6">
        <w:rPr>
          <w:rFonts w:ascii="Times New Roman" w:hAnsi="Times New Roman" w:cs="Times New Roman"/>
          <w:sz w:val="28"/>
          <w:szCs w:val="28"/>
        </w:rPr>
        <w:t>ей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3703C6">
        <w:rPr>
          <w:rFonts w:ascii="Times New Roman" w:hAnsi="Times New Roman" w:cs="Times New Roman"/>
          <w:sz w:val="28"/>
          <w:szCs w:val="28"/>
        </w:rPr>
        <w:t>ое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703C6">
        <w:rPr>
          <w:rFonts w:ascii="Times New Roman" w:hAnsi="Times New Roman" w:cs="Times New Roman"/>
          <w:sz w:val="28"/>
          <w:szCs w:val="28"/>
        </w:rPr>
        <w:t>е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703C6">
        <w:rPr>
          <w:rFonts w:ascii="Times New Roman" w:hAnsi="Times New Roman" w:cs="Times New Roman"/>
          <w:sz w:val="28"/>
          <w:szCs w:val="28"/>
        </w:rPr>
        <w:t>о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172 575</w:t>
      </w:r>
      <w:r w:rsidR="003703C6">
        <w:rPr>
          <w:rFonts w:ascii="Times New Roman" w:hAnsi="Times New Roman" w:cs="Times New Roman"/>
          <w:sz w:val="28"/>
          <w:szCs w:val="28"/>
        </w:rPr>
        <w:t>,47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 рублей. К уровню поступлений за I полугодия  2018 года поступления НДФЛ</w:t>
      </w:r>
      <w:r w:rsidR="003703C6">
        <w:rPr>
          <w:rFonts w:ascii="Times New Roman" w:hAnsi="Times New Roman" w:cs="Times New Roman"/>
          <w:sz w:val="28"/>
          <w:szCs w:val="28"/>
        </w:rPr>
        <w:t>,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</w:t>
      </w:r>
      <w:r w:rsidR="003703C6">
        <w:rPr>
          <w:rFonts w:ascii="Times New Roman" w:hAnsi="Times New Roman" w:cs="Times New Roman"/>
          <w:sz w:val="28"/>
          <w:szCs w:val="28"/>
        </w:rPr>
        <w:t>в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сопоставимых условиях (условиях 2019 года)</w:t>
      </w:r>
      <w:r w:rsidR="003703C6">
        <w:rPr>
          <w:rFonts w:ascii="Times New Roman" w:hAnsi="Times New Roman" w:cs="Times New Roman"/>
          <w:sz w:val="28"/>
          <w:szCs w:val="28"/>
        </w:rPr>
        <w:t>,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произошло снижение поступлений НДФЛ в бюджет городского округа на 5</w:t>
      </w:r>
      <w:r w:rsidR="003703C6">
        <w:rPr>
          <w:rFonts w:ascii="Times New Roman" w:hAnsi="Times New Roman" w:cs="Times New Roman"/>
          <w:sz w:val="28"/>
          <w:szCs w:val="28"/>
        </w:rPr>
        <w:t> </w:t>
      </w:r>
      <w:r w:rsidR="001059CF" w:rsidRPr="00917737">
        <w:rPr>
          <w:rFonts w:ascii="Times New Roman" w:hAnsi="Times New Roman" w:cs="Times New Roman"/>
          <w:sz w:val="28"/>
          <w:szCs w:val="28"/>
        </w:rPr>
        <w:t>630</w:t>
      </w:r>
      <w:r w:rsidR="003703C6">
        <w:rPr>
          <w:rFonts w:ascii="Times New Roman" w:hAnsi="Times New Roman" w:cs="Times New Roman"/>
          <w:sz w:val="28"/>
          <w:szCs w:val="28"/>
        </w:rPr>
        <w:t>,30 тыс.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03C6">
        <w:rPr>
          <w:rFonts w:ascii="Times New Roman" w:hAnsi="Times New Roman" w:cs="Times New Roman"/>
          <w:sz w:val="28"/>
          <w:szCs w:val="28"/>
        </w:rPr>
        <w:t>ей</w:t>
      </w:r>
      <w:r w:rsidR="001059CF" w:rsidRPr="00917737">
        <w:rPr>
          <w:rFonts w:ascii="Times New Roman" w:hAnsi="Times New Roman" w:cs="Times New Roman"/>
          <w:sz w:val="28"/>
          <w:szCs w:val="28"/>
        </w:rPr>
        <w:t xml:space="preserve"> или на 3,16 процента. Данное снижение обусловлено снижением во втором квартале 2019 года фонда оплаты пруда по военным частям, дислоцирующимся в Изобильненском городском округе Ставропольского края. Согласно информации предоставленной Межрайонной ИФНС России № 4 по Ставропольскому краю в </w:t>
      </w:r>
      <w:r w:rsidR="001059CF" w:rsidRPr="00917737">
        <w:rPr>
          <w:rFonts w:ascii="Times New Roman" w:hAnsi="Times New Roman" w:cs="Times New Roman"/>
          <w:sz w:val="28"/>
          <w:szCs w:val="28"/>
        </w:rPr>
        <w:lastRenderedPageBreak/>
        <w:t>анализируемом периоде времени значительно возросла сумма возвратов НДФЛ в виду предоставления налоговых вычетов. По итогам первого полугодия 2019 года рост суммы возвращенного НДФЛ по налогоплательщикам городского округа по отношению к аналогичному периоду 2018 года в контингенте составил 12 376 тыс. рублей (с учетом нормативов отчислений в бюджет городского округа в 2019 году – 4 282 тыс. рублей).</w:t>
      </w:r>
    </w:p>
    <w:p w:rsidR="00635E53" w:rsidRDefault="00635E53" w:rsidP="001059CF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737">
        <w:rPr>
          <w:rFonts w:ascii="Times New Roman" w:hAnsi="Times New Roman" w:cs="Times New Roman"/>
          <w:snapToGrid w:val="0"/>
          <w:sz w:val="28"/>
          <w:szCs w:val="28"/>
        </w:rPr>
        <w:t xml:space="preserve">При  плановых назначениях по </w:t>
      </w:r>
      <w:r w:rsidRPr="00380AAC">
        <w:rPr>
          <w:rFonts w:ascii="Times New Roman" w:hAnsi="Times New Roman" w:cs="Times New Roman"/>
          <w:snapToGrid w:val="0"/>
          <w:sz w:val="28"/>
          <w:szCs w:val="28"/>
          <w:u w:val="single"/>
        </w:rPr>
        <w:t>доходам от уплаты акцизов на нефтепродукты</w:t>
      </w:r>
      <w:r w:rsidRPr="00917737">
        <w:rPr>
          <w:rFonts w:ascii="Times New Roman" w:hAnsi="Times New Roman" w:cs="Times New Roman"/>
          <w:snapToGrid w:val="0"/>
          <w:sz w:val="28"/>
          <w:szCs w:val="28"/>
        </w:rPr>
        <w:t xml:space="preserve"> 28 864,31 тыс. рублей, фактически поступило </w:t>
      </w:r>
      <w:r w:rsidR="001059CF" w:rsidRPr="00917737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3703C6">
        <w:rPr>
          <w:rFonts w:ascii="Times New Roman" w:hAnsi="Times New Roman" w:cs="Times New Roman"/>
          <w:snapToGrid w:val="0"/>
          <w:sz w:val="28"/>
          <w:szCs w:val="28"/>
        </w:rPr>
        <w:t> 234,00</w:t>
      </w:r>
      <w:r w:rsidRPr="00917737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1059CF" w:rsidRPr="00917737">
        <w:rPr>
          <w:rFonts w:ascii="Times New Roman" w:hAnsi="Times New Roman" w:cs="Times New Roman"/>
          <w:snapToGrid w:val="0"/>
          <w:sz w:val="28"/>
          <w:szCs w:val="28"/>
        </w:rPr>
        <w:t>52,78</w:t>
      </w:r>
      <w:r w:rsidRPr="00917737">
        <w:rPr>
          <w:rFonts w:ascii="Times New Roman" w:hAnsi="Times New Roman" w:cs="Times New Roman"/>
          <w:snapToGrid w:val="0"/>
          <w:sz w:val="28"/>
          <w:szCs w:val="28"/>
        </w:rPr>
        <w:t xml:space="preserve"> процентов к годовым плановым назначениям.</w:t>
      </w:r>
      <w:r w:rsidRPr="0091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I квартала 2019 года выполнен на </w:t>
      </w:r>
      <w:r w:rsidR="001059CF" w:rsidRPr="00917737">
        <w:rPr>
          <w:rFonts w:ascii="Times New Roman" w:eastAsia="Times New Roman" w:hAnsi="Times New Roman" w:cs="Times New Roman"/>
          <w:bCs/>
          <w:sz w:val="28"/>
          <w:szCs w:val="28"/>
        </w:rPr>
        <w:t>115,57</w:t>
      </w:r>
      <w:r w:rsidRPr="0091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="001059CF" w:rsidRPr="0091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59CF" w:rsidRPr="00917737">
        <w:rPr>
          <w:rFonts w:ascii="Times New Roman" w:eastAsia="Times New Roman" w:hAnsi="Times New Roman" w:cs="Times New Roman"/>
          <w:bCs/>
          <w:sz w:val="28"/>
          <w:szCs w:val="28"/>
        </w:rPr>
        <w:t>Поступление акцизов на нефтепродукты по сравнению с аналогичным периодом прошлого года возросли на 2</w:t>
      </w:r>
      <w:r w:rsidR="003703C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059CF" w:rsidRPr="00917737">
        <w:rPr>
          <w:rFonts w:ascii="Times New Roman" w:eastAsia="Times New Roman" w:hAnsi="Times New Roman" w:cs="Times New Roman"/>
          <w:bCs/>
          <w:sz w:val="28"/>
          <w:szCs w:val="28"/>
        </w:rPr>
        <w:t>469</w:t>
      </w:r>
      <w:r w:rsidR="003703C6">
        <w:rPr>
          <w:rFonts w:ascii="Times New Roman" w:eastAsia="Times New Roman" w:hAnsi="Times New Roman" w:cs="Times New Roman"/>
          <w:bCs/>
          <w:sz w:val="28"/>
          <w:szCs w:val="28"/>
        </w:rPr>
        <w:t>,08 тыс.</w:t>
      </w:r>
      <w:r w:rsidR="001059CF" w:rsidRPr="0091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</w:t>
      </w:r>
      <w:r w:rsidR="003703C6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1059CF" w:rsidRPr="0091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на 5,25 процента. </w:t>
      </w:r>
      <w:proofErr w:type="gramStart"/>
      <w:r w:rsidR="001059CF" w:rsidRPr="00917737">
        <w:rPr>
          <w:rFonts w:ascii="Times New Roman" w:eastAsia="Times New Roman" w:hAnsi="Times New Roman" w:cs="Times New Roman"/>
          <w:bCs/>
          <w:sz w:val="28"/>
          <w:szCs w:val="28"/>
        </w:rPr>
        <w:t>Рост обусловлен увеличением норматива отчислений в бюджет субъекта Российской Федерации</w:t>
      </w:r>
      <w:r w:rsidR="003703C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65C9" w:rsidRPr="0091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этом норматив отчислений (перераспределяемые 10 процентов поступлений в краевой бюджет) в бюджет городского округа сократил</w:t>
      </w:r>
      <w:r w:rsidR="003703C6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7865C9" w:rsidRPr="0091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незначительно</w:t>
      </w:r>
      <w:r w:rsidR="003703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17737" w:rsidRPr="008E6A3B" w:rsidRDefault="008E6A3B" w:rsidP="008E6A3B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E6A3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Налоги на совокупный доход.</w:t>
      </w:r>
    </w:p>
    <w:p w:rsidR="00635E53" w:rsidRPr="00380AAC" w:rsidRDefault="00635E53" w:rsidP="00380AAC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AC">
        <w:rPr>
          <w:rFonts w:ascii="Times New Roman" w:hAnsi="Times New Roman" w:cs="Times New Roman"/>
          <w:i/>
          <w:sz w:val="28"/>
          <w:szCs w:val="28"/>
        </w:rPr>
        <w:t>Единый налог на вмененный доход</w:t>
      </w:r>
      <w:r w:rsidRPr="00380AAC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при уточненном годовом плане 24 300,00 тыс. рублей, фактически поступил в сумме </w:t>
      </w:r>
      <w:r w:rsidR="008E6A3B" w:rsidRPr="00380AAC">
        <w:rPr>
          <w:rFonts w:ascii="Times New Roman" w:hAnsi="Times New Roman" w:cs="Times New Roman"/>
          <w:sz w:val="28"/>
          <w:szCs w:val="28"/>
        </w:rPr>
        <w:t>14 481,48</w:t>
      </w:r>
      <w:r w:rsidRPr="00380AA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6A3B" w:rsidRPr="00380AAC">
        <w:rPr>
          <w:rFonts w:ascii="Times New Roman" w:hAnsi="Times New Roman" w:cs="Times New Roman"/>
          <w:sz w:val="28"/>
          <w:szCs w:val="28"/>
        </w:rPr>
        <w:t>59,59</w:t>
      </w:r>
      <w:r w:rsidRPr="00380AAC">
        <w:rPr>
          <w:rFonts w:ascii="Times New Roman" w:hAnsi="Times New Roman" w:cs="Times New Roman"/>
          <w:sz w:val="28"/>
          <w:szCs w:val="28"/>
        </w:rPr>
        <w:t xml:space="preserve"> процента к плану, план I </w:t>
      </w:r>
      <w:r w:rsidR="008E6A3B" w:rsidRPr="00380AAC">
        <w:rPr>
          <w:rFonts w:ascii="Times New Roman" w:hAnsi="Times New Roman" w:cs="Times New Roman"/>
          <w:sz w:val="28"/>
          <w:szCs w:val="28"/>
        </w:rPr>
        <w:t>полугодия</w:t>
      </w:r>
      <w:r w:rsidRPr="00380AA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E6A3B" w:rsidRPr="00380AA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380AAC">
        <w:rPr>
          <w:rFonts w:ascii="Times New Roman" w:hAnsi="Times New Roman" w:cs="Times New Roman"/>
          <w:sz w:val="28"/>
          <w:szCs w:val="28"/>
        </w:rPr>
        <w:t xml:space="preserve"> на </w:t>
      </w:r>
      <w:r w:rsidR="008E6A3B" w:rsidRPr="00380AAC">
        <w:rPr>
          <w:rFonts w:ascii="Times New Roman" w:hAnsi="Times New Roman" w:cs="Times New Roman"/>
          <w:sz w:val="28"/>
          <w:szCs w:val="28"/>
        </w:rPr>
        <w:t>112,73</w:t>
      </w:r>
      <w:r w:rsidRPr="00380AA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8E6A3B" w:rsidRPr="00380AA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2018 года объем</w:t>
      </w:r>
      <w:r w:rsidR="00ED0601" w:rsidRPr="00380AAC">
        <w:rPr>
          <w:rFonts w:ascii="Times New Roman" w:hAnsi="Times New Roman" w:cs="Times New Roman"/>
          <w:sz w:val="28"/>
          <w:szCs w:val="28"/>
        </w:rPr>
        <w:t>ы</w:t>
      </w:r>
      <w:r w:rsidR="008E6A3B" w:rsidRPr="00380AAC">
        <w:rPr>
          <w:rFonts w:ascii="Times New Roman" w:hAnsi="Times New Roman" w:cs="Times New Roman"/>
          <w:sz w:val="28"/>
          <w:szCs w:val="28"/>
        </w:rPr>
        <w:t xml:space="preserve"> поступлений по указанному налогу уменьшились на 723,14 тыс. рублей или на 4,76 процента. Снижение поступлений объясняется уменьшением количества плательщиков ЕНВД.</w:t>
      </w:r>
    </w:p>
    <w:p w:rsidR="00635E53" w:rsidRPr="00380AAC" w:rsidRDefault="00635E53" w:rsidP="00380AAC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AC">
        <w:rPr>
          <w:rFonts w:ascii="Times New Roman" w:hAnsi="Times New Roman" w:cs="Times New Roman"/>
          <w:i/>
          <w:sz w:val="28"/>
          <w:szCs w:val="28"/>
        </w:rPr>
        <w:t>Единый  сельскохозяйственный  налог</w:t>
      </w:r>
      <w:r w:rsidRPr="00380AAC">
        <w:rPr>
          <w:rFonts w:ascii="Times New Roman" w:hAnsi="Times New Roman" w:cs="Times New Roman"/>
          <w:sz w:val="28"/>
          <w:szCs w:val="28"/>
        </w:rPr>
        <w:t xml:space="preserve">  при годовом плане                             12 236,63 тыс. рублей поступил в сумме  </w:t>
      </w:r>
      <w:r w:rsidR="00ED0601" w:rsidRPr="00380AAC">
        <w:rPr>
          <w:rFonts w:ascii="Times New Roman" w:hAnsi="Times New Roman" w:cs="Times New Roman"/>
          <w:sz w:val="28"/>
          <w:szCs w:val="28"/>
        </w:rPr>
        <w:t>9 469,81</w:t>
      </w:r>
      <w:r w:rsidRPr="00380AAC">
        <w:rPr>
          <w:rFonts w:ascii="Times New Roman" w:hAnsi="Times New Roman" w:cs="Times New Roman"/>
          <w:sz w:val="28"/>
          <w:szCs w:val="28"/>
        </w:rPr>
        <w:t xml:space="preserve"> тыс. рублей,  годовые плановые показатели исполнены на </w:t>
      </w:r>
      <w:r w:rsidR="00ED0601" w:rsidRPr="00380AAC">
        <w:rPr>
          <w:rFonts w:ascii="Times New Roman" w:hAnsi="Times New Roman" w:cs="Times New Roman"/>
          <w:sz w:val="28"/>
          <w:szCs w:val="28"/>
        </w:rPr>
        <w:t>77,39</w:t>
      </w:r>
      <w:r w:rsidRPr="00380AAC">
        <w:rPr>
          <w:rFonts w:ascii="Times New Roman" w:hAnsi="Times New Roman" w:cs="Times New Roman"/>
          <w:sz w:val="28"/>
          <w:szCs w:val="28"/>
        </w:rPr>
        <w:t xml:space="preserve"> процента, план I </w:t>
      </w:r>
      <w:r w:rsidR="00ED0601" w:rsidRPr="00380AAC">
        <w:rPr>
          <w:rFonts w:ascii="Times New Roman" w:hAnsi="Times New Roman" w:cs="Times New Roman"/>
          <w:sz w:val="28"/>
          <w:szCs w:val="28"/>
        </w:rPr>
        <w:t>полугодия</w:t>
      </w:r>
      <w:r w:rsidRPr="00380AAC">
        <w:rPr>
          <w:rFonts w:ascii="Times New Roman" w:hAnsi="Times New Roman" w:cs="Times New Roman"/>
          <w:sz w:val="28"/>
          <w:szCs w:val="28"/>
        </w:rPr>
        <w:t xml:space="preserve"> 2019 года исполнен на </w:t>
      </w:r>
      <w:r w:rsidR="00ED0601" w:rsidRPr="00380AAC">
        <w:rPr>
          <w:rFonts w:ascii="Times New Roman" w:hAnsi="Times New Roman" w:cs="Times New Roman"/>
          <w:sz w:val="28"/>
          <w:szCs w:val="28"/>
        </w:rPr>
        <w:t>114,19</w:t>
      </w:r>
      <w:r w:rsidRPr="00380AA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D0601" w:rsidRPr="00380AAC">
        <w:rPr>
          <w:rFonts w:ascii="Times New Roman" w:hAnsi="Times New Roman" w:cs="Times New Roman"/>
          <w:sz w:val="28"/>
          <w:szCs w:val="28"/>
        </w:rPr>
        <w:t xml:space="preserve"> К  уровню поступлений аналогичного периода 2018 года  поступления по ЕСХН возросли на 3 299,06 тыс.  рублей или на 53,46  процента. Рост поступлений в отчетном периоде обусловлен наличием у СПК (КОЛХОЗ) «РАССВЕТ» на начало 2018 года переплаты, использованной в счет уплаты по годовой декларации за 2017 год; ростом доходов от реализации сельхозпродукции по итогам 2018 года у рада плательщиков: ООО СП "Лучезарное" (рост поступлений ЕСХН в </w:t>
      </w:r>
      <w:r w:rsidR="00ED0601" w:rsidRPr="00380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601" w:rsidRPr="00380AAC">
        <w:rPr>
          <w:rFonts w:ascii="Times New Roman" w:hAnsi="Times New Roman" w:cs="Times New Roman"/>
          <w:sz w:val="28"/>
          <w:szCs w:val="28"/>
        </w:rPr>
        <w:t xml:space="preserve"> полугодии 2019 года по отношению к уровню поступлений аналогичного периода 2018 года – 1 353 458,00 рублей), ООО "М.И.К." (рост поступлений ЕСХН в I полугодии 2019 года – 410 953,00 рублей), и ряда индивидуальных предпринимателей</w:t>
      </w:r>
    </w:p>
    <w:p w:rsidR="00635E53" w:rsidRDefault="00635E53" w:rsidP="00380AAC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AC">
        <w:rPr>
          <w:rFonts w:ascii="Times New Roman" w:eastAsia="Times New Roman" w:hAnsi="Times New Roman" w:cs="Times New Roman"/>
          <w:i/>
          <w:sz w:val="28"/>
          <w:szCs w:val="28"/>
        </w:rPr>
        <w:t>Налог, взимаемый в связи</w:t>
      </w:r>
      <w:r w:rsidRPr="00380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AAC">
        <w:rPr>
          <w:rFonts w:ascii="Times New Roman" w:eastAsia="Times New Roman" w:hAnsi="Times New Roman" w:cs="Times New Roman"/>
          <w:i/>
          <w:sz w:val="28"/>
          <w:szCs w:val="28"/>
        </w:rPr>
        <w:t>применением патентной системы налогообложения</w:t>
      </w:r>
      <w:r w:rsidRPr="00380AAC">
        <w:rPr>
          <w:rFonts w:ascii="Times New Roman" w:eastAsia="Times New Roman" w:hAnsi="Times New Roman" w:cs="Times New Roman"/>
          <w:sz w:val="28"/>
          <w:szCs w:val="28"/>
        </w:rPr>
        <w:t xml:space="preserve"> при годовом   плане 3 400,00 тыс. рублей</w:t>
      </w:r>
      <w:r w:rsidRPr="00380AA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80AAC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380AAC" w:rsidRPr="00380AAC">
        <w:rPr>
          <w:rFonts w:ascii="Times New Roman" w:eastAsia="Times New Roman" w:hAnsi="Times New Roman" w:cs="Times New Roman"/>
          <w:sz w:val="28"/>
          <w:szCs w:val="28"/>
        </w:rPr>
        <w:t>1 922,34</w:t>
      </w:r>
      <w:r w:rsidRPr="00380A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380AAC" w:rsidRPr="00380AAC">
        <w:rPr>
          <w:rFonts w:ascii="Times New Roman" w:eastAsia="Times New Roman" w:hAnsi="Times New Roman" w:cs="Times New Roman"/>
          <w:sz w:val="28"/>
          <w:szCs w:val="28"/>
        </w:rPr>
        <w:t>48,90</w:t>
      </w:r>
      <w:r w:rsidRPr="00380AAC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годового плана.</w:t>
      </w:r>
      <w:r w:rsidR="00380AAC" w:rsidRPr="00380AAC">
        <w:rPr>
          <w:rFonts w:ascii="Times New Roman" w:hAnsi="Times New Roman" w:cs="Times New Roman"/>
          <w:sz w:val="28"/>
          <w:szCs w:val="28"/>
        </w:rPr>
        <w:t xml:space="preserve"> План I полугодия  выполнен на 124,90 процента. По данному виду налога, по сравнению с соответствующим периодом 2018 года, поступления увеличились на 15,28 процента или на 254</w:t>
      </w:r>
      <w:r w:rsidR="00380AAC">
        <w:rPr>
          <w:rFonts w:ascii="Times New Roman" w:hAnsi="Times New Roman" w:cs="Times New Roman"/>
          <w:sz w:val="28"/>
          <w:szCs w:val="28"/>
        </w:rPr>
        <w:t>,</w:t>
      </w:r>
      <w:r w:rsidR="00380AAC" w:rsidRPr="00380AAC">
        <w:rPr>
          <w:rFonts w:ascii="Times New Roman" w:hAnsi="Times New Roman" w:cs="Times New Roman"/>
          <w:sz w:val="28"/>
          <w:szCs w:val="28"/>
        </w:rPr>
        <w:t>7</w:t>
      </w:r>
      <w:r w:rsidR="00380AAC">
        <w:rPr>
          <w:rFonts w:ascii="Times New Roman" w:hAnsi="Times New Roman" w:cs="Times New Roman"/>
          <w:sz w:val="28"/>
          <w:szCs w:val="28"/>
        </w:rPr>
        <w:t>4 тыс.</w:t>
      </w:r>
      <w:r w:rsidR="00380AAC" w:rsidRPr="00380AAC">
        <w:rPr>
          <w:rFonts w:ascii="Times New Roman" w:hAnsi="Times New Roman" w:cs="Times New Roman"/>
          <w:sz w:val="28"/>
          <w:szCs w:val="28"/>
        </w:rPr>
        <w:t xml:space="preserve">  рубл</w:t>
      </w:r>
      <w:r w:rsidR="00380AAC">
        <w:rPr>
          <w:rFonts w:ascii="Times New Roman" w:hAnsi="Times New Roman" w:cs="Times New Roman"/>
          <w:sz w:val="28"/>
          <w:szCs w:val="28"/>
        </w:rPr>
        <w:t>ей</w:t>
      </w:r>
      <w:r w:rsidR="00380AAC" w:rsidRPr="00380AAC">
        <w:rPr>
          <w:rFonts w:ascii="Times New Roman" w:hAnsi="Times New Roman" w:cs="Times New Roman"/>
          <w:sz w:val="28"/>
          <w:szCs w:val="28"/>
        </w:rPr>
        <w:t xml:space="preserve">. Рост поступлений </w:t>
      </w:r>
      <w:r w:rsidR="00380AAC" w:rsidRPr="00380AAC">
        <w:rPr>
          <w:rFonts w:ascii="Times New Roman" w:hAnsi="Times New Roman" w:cs="Times New Roman"/>
          <w:sz w:val="28"/>
          <w:szCs w:val="28"/>
        </w:rPr>
        <w:lastRenderedPageBreak/>
        <w:t>связан с  увеличением количества выданных патентов индивидуальным предпринимателям</w:t>
      </w:r>
      <w:r w:rsidR="00380AAC">
        <w:rPr>
          <w:rFonts w:ascii="Times New Roman" w:hAnsi="Times New Roman" w:cs="Times New Roman"/>
          <w:sz w:val="28"/>
          <w:szCs w:val="28"/>
        </w:rPr>
        <w:t>.</w:t>
      </w:r>
    </w:p>
    <w:p w:rsidR="00380AAC" w:rsidRPr="00380AAC" w:rsidRDefault="00380AAC" w:rsidP="00380AAC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AC">
        <w:rPr>
          <w:rFonts w:ascii="Times New Roman" w:hAnsi="Times New Roman" w:cs="Times New Roman"/>
          <w:sz w:val="26"/>
          <w:szCs w:val="26"/>
          <w:u w:val="single"/>
        </w:rPr>
        <w:t>Налоги на имущество.</w:t>
      </w:r>
    </w:p>
    <w:p w:rsidR="00FB768F" w:rsidRPr="00492AA8" w:rsidRDefault="00FB768F" w:rsidP="002117B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AC">
        <w:rPr>
          <w:rFonts w:ascii="Times New Roman" w:hAnsi="Times New Roman" w:cs="Times New Roman"/>
          <w:i/>
          <w:sz w:val="26"/>
          <w:szCs w:val="26"/>
        </w:rPr>
        <w:t>Налог на имущество физических лиц</w:t>
      </w:r>
      <w:r w:rsidRPr="00380AAC">
        <w:rPr>
          <w:rFonts w:ascii="Times New Roman" w:hAnsi="Times New Roman" w:cs="Times New Roman"/>
          <w:sz w:val="26"/>
          <w:szCs w:val="26"/>
        </w:rPr>
        <w:t xml:space="preserve"> при годовом плане 22 940,49 тыс. рублей поступил в размере </w:t>
      </w:r>
      <w:r w:rsidR="00380AAC" w:rsidRPr="00380AAC">
        <w:rPr>
          <w:rFonts w:ascii="Times New Roman" w:hAnsi="Times New Roman" w:cs="Times New Roman"/>
          <w:sz w:val="26"/>
          <w:szCs w:val="26"/>
        </w:rPr>
        <w:t>4 640,70</w:t>
      </w:r>
      <w:r w:rsidRPr="00380AAC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380AAC" w:rsidRPr="00380AAC">
        <w:rPr>
          <w:rFonts w:ascii="Times New Roman" w:hAnsi="Times New Roman" w:cs="Times New Roman"/>
          <w:sz w:val="26"/>
          <w:szCs w:val="26"/>
        </w:rPr>
        <w:t>20,23</w:t>
      </w:r>
      <w:r w:rsidRPr="00380AAC">
        <w:rPr>
          <w:rFonts w:ascii="Times New Roman" w:hAnsi="Times New Roman" w:cs="Times New Roman"/>
          <w:sz w:val="26"/>
          <w:szCs w:val="26"/>
        </w:rPr>
        <w:t xml:space="preserve"> процента,</w:t>
      </w:r>
      <w:r w:rsidRPr="00380AAC">
        <w:rPr>
          <w:rFonts w:ascii="Times New Roman" w:hAnsi="Times New Roman" w:cs="Times New Roman"/>
          <w:sz w:val="28"/>
          <w:szCs w:val="28"/>
        </w:rPr>
        <w:t xml:space="preserve"> план I </w:t>
      </w:r>
      <w:r w:rsidR="00380AAC" w:rsidRPr="00380AAC">
        <w:rPr>
          <w:rFonts w:ascii="Times New Roman" w:hAnsi="Times New Roman" w:cs="Times New Roman"/>
          <w:sz w:val="28"/>
          <w:szCs w:val="28"/>
        </w:rPr>
        <w:t>полугодия</w:t>
      </w:r>
      <w:r w:rsidRPr="00380AAC">
        <w:rPr>
          <w:rFonts w:ascii="Times New Roman" w:hAnsi="Times New Roman" w:cs="Times New Roman"/>
          <w:sz w:val="28"/>
          <w:szCs w:val="28"/>
        </w:rPr>
        <w:t xml:space="preserve"> 2019 года на </w:t>
      </w:r>
      <w:r w:rsidR="00380AAC" w:rsidRPr="00380AAC">
        <w:rPr>
          <w:rFonts w:ascii="Times New Roman" w:hAnsi="Times New Roman" w:cs="Times New Roman"/>
          <w:sz w:val="28"/>
          <w:szCs w:val="28"/>
        </w:rPr>
        <w:t>222,30</w:t>
      </w:r>
      <w:r w:rsidRPr="00380AA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80AAC">
        <w:rPr>
          <w:rFonts w:ascii="Times New Roman" w:hAnsi="Times New Roman" w:cs="Times New Roman"/>
          <w:sz w:val="26"/>
          <w:szCs w:val="26"/>
        </w:rPr>
        <w:t>.</w:t>
      </w:r>
      <w:r w:rsidR="00380AAC" w:rsidRPr="00380AAC">
        <w:rPr>
          <w:rFonts w:ascii="Times New Roman" w:hAnsi="Times New Roman" w:cs="Times New Roman"/>
          <w:sz w:val="28"/>
          <w:szCs w:val="28"/>
        </w:rPr>
        <w:t xml:space="preserve"> По отношению к уровню поступлений на 01 июля 2018 года в отчетном периоде поступления возросли на 3 028,39 тыс. рублей или на 187,83 процента. Рост по данному доходному источнику обусловлен наступлением второго года переходного периода на исчисление </w:t>
      </w:r>
      <w:proofErr w:type="gramStart"/>
      <w:r w:rsidR="00380AAC" w:rsidRPr="00380AAC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380AAC" w:rsidRPr="00380AA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стоимости; включением дополнительных объектов налогообложения в перечень торговых объектов площадью свыше </w:t>
      </w:r>
      <w:smartTag w:uri="urn:schemas-microsoft-com:office:smarttags" w:element="metricconverter">
        <w:smartTagPr>
          <w:attr w:name="ProductID" w:val="250 кв. м"/>
        </w:smartTagPr>
        <w:r w:rsidR="00380AAC" w:rsidRPr="00380AAC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="00380AAC" w:rsidRPr="00380AAC">
        <w:rPr>
          <w:rFonts w:ascii="Times New Roman" w:hAnsi="Times New Roman" w:cs="Times New Roman"/>
          <w:sz w:val="28"/>
          <w:szCs w:val="28"/>
        </w:rPr>
        <w:t xml:space="preserve">., облагаемых налогом исходя из кадастровой стоимости, а так же переходом прав собственности по поименованным объектам от юридических лиц к физическим лицам; погашением крупной задолженности за предыдущие налоговые периоды Сомовым А.Ю. и  </w:t>
      </w:r>
      <w:proofErr w:type="spellStart"/>
      <w:r w:rsidR="00380AAC" w:rsidRPr="00380AAC">
        <w:rPr>
          <w:rFonts w:ascii="Times New Roman" w:hAnsi="Times New Roman" w:cs="Times New Roman"/>
          <w:sz w:val="28"/>
          <w:szCs w:val="28"/>
        </w:rPr>
        <w:t>Тебуевым</w:t>
      </w:r>
      <w:proofErr w:type="spellEnd"/>
      <w:r w:rsidR="00380AAC" w:rsidRPr="00380AAC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AE0CF5" w:rsidRPr="005936AB" w:rsidRDefault="001F409D" w:rsidP="002852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B7EBC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9B7EBC">
        <w:rPr>
          <w:rFonts w:ascii="Times New Roman" w:hAnsi="Times New Roman" w:cs="Times New Roman"/>
          <w:sz w:val="28"/>
          <w:szCs w:val="28"/>
        </w:rPr>
        <w:t xml:space="preserve"> при годовом плане 90 723,21 тыс. рублей поступил в объеме </w:t>
      </w:r>
      <w:r w:rsidR="00492AA8" w:rsidRPr="009B7EBC">
        <w:rPr>
          <w:rFonts w:ascii="Times New Roman" w:hAnsi="Times New Roman" w:cs="Times New Roman"/>
          <w:sz w:val="28"/>
          <w:szCs w:val="28"/>
        </w:rPr>
        <w:t>28 990,17</w:t>
      </w:r>
      <w:r w:rsidRPr="009B7EBC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492AA8" w:rsidRPr="009B7EBC">
        <w:rPr>
          <w:rFonts w:ascii="Times New Roman" w:hAnsi="Times New Roman" w:cs="Times New Roman"/>
          <w:sz w:val="28"/>
          <w:szCs w:val="28"/>
        </w:rPr>
        <w:t>31,95</w:t>
      </w:r>
      <w:r w:rsidRPr="009B7EBC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492AA8" w:rsidRPr="009B7EBC">
        <w:rPr>
          <w:rFonts w:ascii="Times New Roman" w:hAnsi="Times New Roman" w:cs="Times New Roman"/>
          <w:sz w:val="28"/>
          <w:szCs w:val="28"/>
        </w:rPr>
        <w:t>полугодия</w:t>
      </w:r>
      <w:r w:rsidRPr="009B7EBC">
        <w:rPr>
          <w:rFonts w:ascii="Times New Roman" w:hAnsi="Times New Roman" w:cs="Times New Roman"/>
          <w:sz w:val="28"/>
          <w:szCs w:val="28"/>
        </w:rPr>
        <w:t xml:space="preserve"> на </w:t>
      </w:r>
      <w:r w:rsidR="002117BB" w:rsidRPr="009B7EBC">
        <w:rPr>
          <w:rFonts w:ascii="Times New Roman" w:hAnsi="Times New Roman" w:cs="Times New Roman"/>
          <w:sz w:val="28"/>
          <w:szCs w:val="28"/>
        </w:rPr>
        <w:t>1</w:t>
      </w:r>
      <w:r w:rsidR="00492AA8" w:rsidRPr="009B7EBC">
        <w:rPr>
          <w:rFonts w:ascii="Times New Roman" w:hAnsi="Times New Roman" w:cs="Times New Roman"/>
          <w:sz w:val="28"/>
          <w:szCs w:val="28"/>
        </w:rPr>
        <w:t>18,01</w:t>
      </w:r>
      <w:r w:rsidRPr="009B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92AA8" w:rsidRPr="009B7EBC">
        <w:rPr>
          <w:rFonts w:ascii="Times New Roman" w:hAnsi="Times New Roman" w:cs="Times New Roman"/>
          <w:sz w:val="28"/>
          <w:szCs w:val="28"/>
        </w:rPr>
        <w:t>.</w:t>
      </w:r>
      <w:r w:rsidR="002117BB" w:rsidRPr="009B7EBC">
        <w:rPr>
          <w:rFonts w:ascii="Times New Roman" w:hAnsi="Times New Roman" w:cs="Times New Roman"/>
          <w:sz w:val="28"/>
          <w:szCs w:val="28"/>
        </w:rPr>
        <w:t xml:space="preserve"> По отношению к уровню поступлений 2018 года доходы 2019 года возросли на 5 274,26 тыс. рублей или на 22,24 процента.</w:t>
      </w:r>
      <w:r w:rsidR="009B7EBC">
        <w:rPr>
          <w:rFonts w:ascii="Times New Roman" w:hAnsi="Times New Roman" w:cs="Times New Roman"/>
          <w:sz w:val="28"/>
          <w:szCs w:val="28"/>
        </w:rPr>
        <w:t xml:space="preserve"> </w:t>
      </w:r>
      <w:r w:rsidR="005936AB" w:rsidRPr="005936AB">
        <w:rPr>
          <w:rFonts w:ascii="Times New Roman" w:hAnsi="Times New Roman" w:cs="Times New Roman"/>
          <w:sz w:val="28"/>
          <w:szCs w:val="28"/>
        </w:rPr>
        <w:t>Рост поступлений произошел в результате</w:t>
      </w:r>
      <w:r w:rsidR="005936AB" w:rsidRPr="00593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AB" w:rsidRPr="005936AB">
        <w:rPr>
          <w:rFonts w:ascii="Times New Roman" w:hAnsi="Times New Roman" w:cs="Times New Roman"/>
          <w:sz w:val="28"/>
          <w:szCs w:val="28"/>
        </w:rPr>
        <w:t xml:space="preserve">погашения крупной задолженности за предыдущие налоговые периоды </w:t>
      </w:r>
      <w:proofErr w:type="gramStart"/>
      <w:r w:rsidR="005936AB" w:rsidRPr="005936AB">
        <w:rPr>
          <w:rFonts w:ascii="Times New Roman" w:hAnsi="Times New Roman" w:cs="Times New Roman"/>
          <w:sz w:val="28"/>
          <w:szCs w:val="28"/>
        </w:rPr>
        <w:t>Сомовым</w:t>
      </w:r>
      <w:proofErr w:type="gramEnd"/>
      <w:r w:rsidR="005936AB" w:rsidRPr="005936AB">
        <w:rPr>
          <w:rFonts w:ascii="Times New Roman" w:hAnsi="Times New Roman" w:cs="Times New Roman"/>
          <w:sz w:val="28"/>
          <w:szCs w:val="28"/>
        </w:rPr>
        <w:t xml:space="preserve"> А.Ю. и  </w:t>
      </w:r>
      <w:proofErr w:type="spellStart"/>
      <w:r w:rsidR="005936AB" w:rsidRPr="005936AB">
        <w:rPr>
          <w:rFonts w:ascii="Times New Roman" w:hAnsi="Times New Roman" w:cs="Times New Roman"/>
          <w:sz w:val="28"/>
          <w:szCs w:val="28"/>
        </w:rPr>
        <w:t>Тебуевым</w:t>
      </w:r>
      <w:proofErr w:type="spellEnd"/>
      <w:r w:rsidR="005936AB" w:rsidRPr="005936A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555E80" w:rsidRPr="009B7EBC" w:rsidRDefault="00555E80" w:rsidP="00555E80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EBC">
        <w:rPr>
          <w:rFonts w:ascii="Times New Roman" w:eastAsia="Times New Roman" w:hAnsi="Times New Roman" w:cs="Times New Roman"/>
          <w:i/>
          <w:sz w:val="28"/>
          <w:szCs w:val="28"/>
        </w:rPr>
        <w:t>Государственная  пошлина</w:t>
      </w:r>
      <w:r w:rsidRPr="009B7EBC">
        <w:rPr>
          <w:rFonts w:ascii="Times New Roman" w:eastAsia="Times New Roman" w:hAnsi="Times New Roman" w:cs="Times New Roman"/>
          <w:sz w:val="28"/>
          <w:szCs w:val="28"/>
        </w:rPr>
        <w:t xml:space="preserve">    при  годовом  плане  9 500,00 тыс. рублей,  фактически  поступила  в  сумме  </w:t>
      </w:r>
      <w:r w:rsidR="002117BB" w:rsidRPr="009B7EBC">
        <w:rPr>
          <w:rFonts w:ascii="Times New Roman" w:eastAsia="Times New Roman" w:hAnsi="Times New Roman" w:cs="Times New Roman"/>
          <w:sz w:val="28"/>
          <w:szCs w:val="28"/>
        </w:rPr>
        <w:t>4 765,67</w:t>
      </w:r>
      <w:r w:rsidRPr="009B7EBC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или  </w:t>
      </w:r>
      <w:r w:rsidR="002117BB" w:rsidRPr="009B7EBC">
        <w:rPr>
          <w:rFonts w:ascii="Times New Roman" w:eastAsia="Times New Roman" w:hAnsi="Times New Roman" w:cs="Times New Roman"/>
          <w:sz w:val="28"/>
          <w:szCs w:val="28"/>
        </w:rPr>
        <w:t>50,16</w:t>
      </w:r>
      <w:r w:rsidRPr="009B7EBC">
        <w:rPr>
          <w:rFonts w:ascii="Times New Roman" w:eastAsia="Times New Roman" w:hAnsi="Times New Roman" w:cs="Times New Roman"/>
          <w:sz w:val="28"/>
          <w:szCs w:val="28"/>
        </w:rPr>
        <w:t xml:space="preserve"> процента  к годовому  плану, </w:t>
      </w:r>
      <w:r w:rsidR="002117BB" w:rsidRPr="009B7EBC">
        <w:rPr>
          <w:rFonts w:ascii="Times New Roman" w:hAnsi="Times New Roman" w:cs="Times New Roman"/>
          <w:sz w:val="28"/>
          <w:szCs w:val="28"/>
        </w:rPr>
        <w:t>112,49</w:t>
      </w:r>
      <w:r w:rsidRPr="009B7EBC">
        <w:rPr>
          <w:rFonts w:ascii="Times New Roman" w:hAnsi="Times New Roman" w:cs="Times New Roman"/>
          <w:sz w:val="28"/>
          <w:szCs w:val="28"/>
        </w:rPr>
        <w:t xml:space="preserve"> процента – к плану </w:t>
      </w:r>
      <w:r w:rsidRPr="009B7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EBC">
        <w:rPr>
          <w:rFonts w:ascii="Times New Roman" w:hAnsi="Times New Roman" w:cs="Times New Roman"/>
          <w:sz w:val="28"/>
          <w:szCs w:val="28"/>
        </w:rPr>
        <w:t xml:space="preserve"> </w:t>
      </w:r>
      <w:r w:rsidR="009B7EBC" w:rsidRPr="009B7EBC">
        <w:rPr>
          <w:rFonts w:ascii="Times New Roman" w:hAnsi="Times New Roman" w:cs="Times New Roman"/>
          <w:sz w:val="28"/>
          <w:szCs w:val="28"/>
        </w:rPr>
        <w:t>полугодия</w:t>
      </w:r>
      <w:r w:rsidRPr="009B7EB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.  </w:t>
      </w:r>
      <w:r w:rsidR="009B7EBC" w:rsidRPr="009B7EBC">
        <w:rPr>
          <w:rFonts w:ascii="Times New Roman" w:hAnsi="Times New Roman" w:cs="Times New Roman"/>
          <w:sz w:val="28"/>
          <w:szCs w:val="28"/>
        </w:rPr>
        <w:t>К  соответствующему  периоду  прошлого  года  поступления возросли на 458,43 тыс. рублей или на 10,64 процента.  Рост поступлений обусловлен увеличением числа обращений за совершением юридически значимых действий на территории городского округа.</w:t>
      </w:r>
    </w:p>
    <w:p w:rsidR="002117BB" w:rsidRDefault="002117BB" w:rsidP="002852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55E80" w:rsidRPr="005936AB" w:rsidRDefault="009F0AF6" w:rsidP="002852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6AB">
        <w:rPr>
          <w:rFonts w:ascii="Times New Roman" w:hAnsi="Times New Roman" w:cs="Times New Roman"/>
          <w:sz w:val="28"/>
          <w:szCs w:val="28"/>
        </w:rPr>
        <w:t xml:space="preserve">Годовой план по поступлениям </w:t>
      </w:r>
      <w:r w:rsidRPr="005936AB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5936AB">
        <w:rPr>
          <w:rFonts w:ascii="Times New Roman" w:hAnsi="Times New Roman" w:cs="Times New Roman"/>
          <w:sz w:val="28"/>
          <w:szCs w:val="28"/>
        </w:rPr>
        <w:t xml:space="preserve"> доходов выполнен на </w:t>
      </w:r>
      <w:r w:rsidR="005936AB" w:rsidRPr="005936AB">
        <w:rPr>
          <w:rFonts w:ascii="Times New Roman" w:hAnsi="Times New Roman" w:cs="Times New Roman"/>
          <w:sz w:val="28"/>
          <w:szCs w:val="28"/>
        </w:rPr>
        <w:t>82,47</w:t>
      </w:r>
      <w:r w:rsidRPr="005936AB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5936AB" w:rsidRPr="005936AB">
        <w:rPr>
          <w:rFonts w:ascii="Times New Roman" w:hAnsi="Times New Roman" w:cs="Times New Roman"/>
          <w:sz w:val="28"/>
          <w:szCs w:val="28"/>
        </w:rPr>
        <w:t>полугодия</w:t>
      </w:r>
      <w:r w:rsidRPr="005936AB">
        <w:rPr>
          <w:rFonts w:ascii="Times New Roman" w:hAnsi="Times New Roman" w:cs="Times New Roman"/>
          <w:sz w:val="28"/>
          <w:szCs w:val="28"/>
        </w:rPr>
        <w:t xml:space="preserve">  на  </w:t>
      </w:r>
      <w:r w:rsidR="005936AB" w:rsidRPr="005936AB">
        <w:rPr>
          <w:rFonts w:ascii="Times New Roman" w:hAnsi="Times New Roman" w:cs="Times New Roman"/>
          <w:sz w:val="28"/>
          <w:szCs w:val="28"/>
        </w:rPr>
        <w:t>168,08</w:t>
      </w:r>
      <w:r w:rsidR="005936AB" w:rsidRPr="005936AB">
        <w:rPr>
          <w:sz w:val="28"/>
          <w:szCs w:val="28"/>
        </w:rPr>
        <w:t xml:space="preserve"> </w:t>
      </w:r>
      <w:r w:rsidRPr="005936AB">
        <w:rPr>
          <w:rFonts w:ascii="Times New Roman" w:hAnsi="Times New Roman" w:cs="Times New Roman"/>
          <w:sz w:val="28"/>
          <w:szCs w:val="28"/>
        </w:rPr>
        <w:t>процента.</w:t>
      </w:r>
      <w:r w:rsidR="005936AB" w:rsidRPr="005936AB">
        <w:rPr>
          <w:sz w:val="28"/>
          <w:szCs w:val="28"/>
        </w:rPr>
        <w:t xml:space="preserve"> </w:t>
      </w:r>
      <w:r w:rsidR="005936AB" w:rsidRPr="005936AB">
        <w:rPr>
          <w:rFonts w:ascii="Times New Roman" w:hAnsi="Times New Roman" w:cs="Times New Roman"/>
          <w:sz w:val="28"/>
          <w:szCs w:val="28"/>
        </w:rPr>
        <w:t>В целом неналоговые доходы в отчетном периоде по отношению к уровню аналогичного  периода 2018 года возросли на 3</w:t>
      </w:r>
      <w:r w:rsidR="00200100">
        <w:rPr>
          <w:rFonts w:ascii="Times New Roman" w:hAnsi="Times New Roman" w:cs="Times New Roman"/>
          <w:sz w:val="28"/>
          <w:szCs w:val="28"/>
        </w:rPr>
        <w:t> </w:t>
      </w:r>
      <w:r w:rsidR="005936AB" w:rsidRPr="005936AB">
        <w:rPr>
          <w:rFonts w:ascii="Times New Roman" w:hAnsi="Times New Roman" w:cs="Times New Roman"/>
          <w:sz w:val="28"/>
          <w:szCs w:val="28"/>
        </w:rPr>
        <w:t>355</w:t>
      </w:r>
      <w:r w:rsidR="00200100">
        <w:rPr>
          <w:rFonts w:ascii="Times New Roman" w:hAnsi="Times New Roman" w:cs="Times New Roman"/>
          <w:sz w:val="28"/>
          <w:szCs w:val="28"/>
        </w:rPr>
        <w:t>,42 тыс.</w:t>
      </w:r>
      <w:r w:rsidR="005936AB" w:rsidRPr="005936AB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0100">
        <w:rPr>
          <w:rFonts w:ascii="Times New Roman" w:hAnsi="Times New Roman" w:cs="Times New Roman"/>
          <w:sz w:val="28"/>
          <w:szCs w:val="28"/>
        </w:rPr>
        <w:t>ей</w:t>
      </w:r>
      <w:r w:rsidR="005936AB" w:rsidRPr="005936AB">
        <w:rPr>
          <w:rFonts w:ascii="Times New Roman" w:hAnsi="Times New Roman" w:cs="Times New Roman"/>
          <w:sz w:val="28"/>
          <w:szCs w:val="28"/>
        </w:rPr>
        <w:t xml:space="preserve"> или на 9,65 процента. Основной причиной роста неналоговых доходов в </w:t>
      </w:r>
      <w:r w:rsidR="005936AB" w:rsidRPr="005936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36AB" w:rsidRPr="005936AB">
        <w:rPr>
          <w:rFonts w:ascii="Times New Roman" w:hAnsi="Times New Roman" w:cs="Times New Roman"/>
          <w:sz w:val="28"/>
          <w:szCs w:val="28"/>
        </w:rPr>
        <w:t xml:space="preserve"> полугодии 2019 года является более низкие темпы поступлений в начале 2018 года доходов от использования имущества.</w:t>
      </w:r>
    </w:p>
    <w:p w:rsidR="009F0AF6" w:rsidRPr="0079282C" w:rsidRDefault="00774D43" w:rsidP="005936A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79282C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5936AB" w:rsidRPr="0079282C">
        <w:rPr>
          <w:rFonts w:ascii="Times New Roman" w:hAnsi="Times New Roman" w:cs="Times New Roman"/>
          <w:sz w:val="28"/>
          <w:szCs w:val="28"/>
        </w:rPr>
        <w:t>60,01</w:t>
      </w:r>
      <w:r w:rsidRPr="0079282C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 - это </w:t>
      </w:r>
      <w:r w:rsidRPr="0079282C">
        <w:rPr>
          <w:rFonts w:ascii="Times New Roman" w:hAnsi="Times New Roman" w:cs="Times New Roman"/>
          <w:i/>
          <w:sz w:val="28"/>
          <w:szCs w:val="28"/>
        </w:rPr>
        <w:t>доходы от использования имущества</w:t>
      </w:r>
      <w:r w:rsidRPr="0079282C">
        <w:rPr>
          <w:rFonts w:ascii="Times New Roman" w:hAnsi="Times New Roman" w:cs="Times New Roman"/>
          <w:sz w:val="28"/>
          <w:szCs w:val="28"/>
        </w:rPr>
        <w:t>, находящегося в государственной и муниципальной собственности</w:t>
      </w:r>
      <w:r w:rsidR="005936AB" w:rsidRPr="0079282C">
        <w:rPr>
          <w:rFonts w:ascii="Times New Roman" w:hAnsi="Times New Roman" w:cs="Times New Roman"/>
          <w:sz w:val="28"/>
          <w:szCs w:val="28"/>
        </w:rPr>
        <w:t>.</w:t>
      </w:r>
      <w:r w:rsidR="005936AB" w:rsidRPr="0079282C">
        <w:rPr>
          <w:sz w:val="28"/>
          <w:szCs w:val="28"/>
        </w:rPr>
        <w:t xml:space="preserve"> </w:t>
      </w:r>
      <w:r w:rsidR="005936AB" w:rsidRPr="0079282C">
        <w:rPr>
          <w:rFonts w:ascii="Times New Roman" w:hAnsi="Times New Roman" w:cs="Times New Roman"/>
          <w:sz w:val="28"/>
          <w:szCs w:val="28"/>
        </w:rPr>
        <w:t>Доходы от данного доходного источника в отчетном периоде по отношению к уровню соответствующего периода 2018 года возросли на 1 902,09 тыс. рублей или 8,91 процента, и составили 23 253,85 тыс. рублей.</w:t>
      </w:r>
    </w:p>
    <w:p w:rsidR="002B3A18" w:rsidRPr="0079282C" w:rsidRDefault="00774D43" w:rsidP="002B3A1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82C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Существенную долю в структуре неналоговых доходов занимают </w:t>
      </w:r>
      <w:r w:rsidRPr="0079282C">
        <w:rPr>
          <w:rFonts w:ascii="Times New Roman" w:hAnsi="Times New Roman" w:cs="Times New Roman"/>
          <w:i/>
          <w:sz w:val="28"/>
          <w:szCs w:val="28"/>
        </w:rPr>
        <w:t>доходы от оказания платных услуг</w:t>
      </w:r>
      <w:r w:rsidRPr="0079282C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государства. При уточненном годовом плане </w:t>
      </w:r>
      <w:r w:rsidR="005936AB" w:rsidRPr="0079282C">
        <w:rPr>
          <w:rFonts w:ascii="Times New Roman" w:hAnsi="Times New Roman" w:cs="Times New Roman"/>
          <w:sz w:val="28"/>
          <w:szCs w:val="28"/>
        </w:rPr>
        <w:t>18 067,89</w:t>
      </w:r>
      <w:r w:rsidRPr="0079282C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поступило </w:t>
      </w:r>
      <w:r w:rsidR="005936AB" w:rsidRPr="0079282C">
        <w:rPr>
          <w:rFonts w:ascii="Times New Roman" w:hAnsi="Times New Roman" w:cs="Times New Roman"/>
          <w:sz w:val="28"/>
          <w:szCs w:val="28"/>
        </w:rPr>
        <w:t>9 544,05</w:t>
      </w:r>
      <w:r w:rsidRPr="0079282C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5936AB" w:rsidRPr="0079282C">
        <w:rPr>
          <w:rFonts w:ascii="Times New Roman" w:hAnsi="Times New Roman" w:cs="Times New Roman"/>
          <w:sz w:val="28"/>
          <w:szCs w:val="28"/>
        </w:rPr>
        <w:t>52,82</w:t>
      </w:r>
      <w:r w:rsidRPr="0079282C">
        <w:rPr>
          <w:rFonts w:ascii="Times New Roman" w:hAnsi="Times New Roman" w:cs="Times New Roman"/>
          <w:sz w:val="28"/>
          <w:szCs w:val="28"/>
        </w:rPr>
        <w:t xml:space="preserve"> процента к годовому плану и </w:t>
      </w:r>
      <w:r w:rsidR="005936AB" w:rsidRPr="0079282C">
        <w:rPr>
          <w:rFonts w:ascii="Times New Roman" w:hAnsi="Times New Roman" w:cs="Times New Roman"/>
          <w:sz w:val="28"/>
          <w:szCs w:val="28"/>
        </w:rPr>
        <w:t>105,37</w:t>
      </w:r>
      <w:r w:rsidRPr="0079282C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5936AB" w:rsidRPr="0079282C">
        <w:rPr>
          <w:rFonts w:ascii="Times New Roman" w:hAnsi="Times New Roman" w:cs="Times New Roman"/>
          <w:sz w:val="28"/>
          <w:szCs w:val="28"/>
        </w:rPr>
        <w:t>плану 1 полугодия</w:t>
      </w:r>
      <w:r w:rsidRPr="0079282C">
        <w:rPr>
          <w:rFonts w:ascii="Times New Roman" w:hAnsi="Times New Roman" w:cs="Times New Roman"/>
          <w:sz w:val="28"/>
          <w:szCs w:val="28"/>
        </w:rPr>
        <w:t xml:space="preserve">.  </w:t>
      </w:r>
      <w:r w:rsidR="005936AB" w:rsidRPr="0079282C">
        <w:rPr>
          <w:rFonts w:ascii="Times New Roman" w:hAnsi="Times New Roman" w:cs="Times New Roman"/>
          <w:sz w:val="28"/>
          <w:szCs w:val="28"/>
        </w:rPr>
        <w:t>К соответствующему периоду 2018 года  поступления  выросли на 393,</w:t>
      </w:r>
      <w:r w:rsidR="002B3A18" w:rsidRPr="0079282C">
        <w:rPr>
          <w:rFonts w:ascii="Times New Roman" w:hAnsi="Times New Roman" w:cs="Times New Roman"/>
          <w:sz w:val="28"/>
          <w:szCs w:val="28"/>
        </w:rPr>
        <w:t>0</w:t>
      </w:r>
      <w:r w:rsidR="005936AB" w:rsidRPr="0079282C">
        <w:rPr>
          <w:rFonts w:ascii="Times New Roman" w:hAnsi="Times New Roman" w:cs="Times New Roman"/>
          <w:sz w:val="28"/>
          <w:szCs w:val="28"/>
        </w:rPr>
        <w:t>7</w:t>
      </w:r>
      <w:r w:rsidR="002B3A18" w:rsidRPr="0079282C">
        <w:rPr>
          <w:rFonts w:ascii="Times New Roman" w:hAnsi="Times New Roman" w:cs="Times New Roman"/>
          <w:sz w:val="28"/>
          <w:szCs w:val="28"/>
        </w:rPr>
        <w:t xml:space="preserve"> тыс.</w:t>
      </w:r>
      <w:r w:rsidR="005936AB" w:rsidRPr="007928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3A18" w:rsidRPr="0079282C">
        <w:rPr>
          <w:rFonts w:ascii="Times New Roman" w:hAnsi="Times New Roman" w:cs="Times New Roman"/>
          <w:sz w:val="28"/>
          <w:szCs w:val="28"/>
        </w:rPr>
        <w:t>ей</w:t>
      </w:r>
      <w:r w:rsidR="005936AB" w:rsidRPr="0079282C">
        <w:rPr>
          <w:rFonts w:ascii="Times New Roman" w:hAnsi="Times New Roman" w:cs="Times New Roman"/>
          <w:sz w:val="28"/>
          <w:szCs w:val="28"/>
        </w:rPr>
        <w:t xml:space="preserve"> или на 4,30 процента, общий рост поступлений по данному источнику обеспечен </w:t>
      </w:r>
      <w:r w:rsidR="002B3A18" w:rsidRPr="0079282C">
        <w:rPr>
          <w:rFonts w:ascii="Times New Roman" w:hAnsi="Times New Roman" w:cs="Times New Roman"/>
          <w:sz w:val="28"/>
          <w:szCs w:val="28"/>
        </w:rPr>
        <w:t>за счет</w:t>
      </w:r>
      <w:r w:rsidR="005936AB" w:rsidRPr="0079282C">
        <w:rPr>
          <w:rFonts w:ascii="Times New Roman" w:hAnsi="Times New Roman" w:cs="Times New Roman"/>
          <w:sz w:val="28"/>
          <w:szCs w:val="28"/>
        </w:rPr>
        <w:t xml:space="preserve"> увеличения доходов от платных услуг, получаемых МКУ ИГО СК «МФЦ», МКУ ИГО СК «Благоустройство», МКУ ИГО СК «ЦК и</w:t>
      </w:r>
      <w:proofErr w:type="gramStart"/>
      <w:r w:rsidR="005936AB" w:rsidRPr="0079282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936AB" w:rsidRPr="0079282C">
        <w:rPr>
          <w:rFonts w:ascii="Times New Roman" w:hAnsi="Times New Roman" w:cs="Times New Roman"/>
          <w:sz w:val="28"/>
          <w:szCs w:val="28"/>
        </w:rPr>
        <w:t>», поступлениями за оплату квартир предоставляемых в наем (</w:t>
      </w:r>
      <w:proofErr w:type="spellStart"/>
      <w:r w:rsidR="005936AB" w:rsidRPr="0079282C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="005936AB" w:rsidRPr="0079282C">
        <w:rPr>
          <w:rFonts w:ascii="Times New Roman" w:hAnsi="Times New Roman" w:cs="Times New Roman"/>
          <w:sz w:val="28"/>
          <w:szCs w:val="28"/>
        </w:rPr>
        <w:t>).</w:t>
      </w:r>
    </w:p>
    <w:p w:rsidR="00774D43" w:rsidRPr="0079282C" w:rsidRDefault="00D8243D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82C">
        <w:rPr>
          <w:rFonts w:ascii="Times New Roman" w:hAnsi="Times New Roman" w:cs="Times New Roman"/>
          <w:i/>
          <w:sz w:val="28"/>
          <w:szCs w:val="28"/>
        </w:rPr>
        <w:t>Платежи при пользовании природными ресурсами</w:t>
      </w:r>
      <w:r w:rsidRPr="0079282C">
        <w:rPr>
          <w:rFonts w:ascii="Times New Roman" w:hAnsi="Times New Roman" w:cs="Times New Roman"/>
          <w:sz w:val="28"/>
          <w:szCs w:val="28"/>
        </w:rPr>
        <w:t xml:space="preserve"> при годовом плане в размере 1 537,58 тыс. рублей, фактически поступили в сумме </w:t>
      </w:r>
      <w:r w:rsidR="002B3A18" w:rsidRPr="0079282C">
        <w:rPr>
          <w:rFonts w:ascii="Times New Roman" w:hAnsi="Times New Roman" w:cs="Times New Roman"/>
          <w:sz w:val="28"/>
          <w:szCs w:val="28"/>
        </w:rPr>
        <w:t>479,73</w:t>
      </w:r>
      <w:r w:rsidRPr="0079282C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2B3A18" w:rsidRPr="0079282C">
        <w:rPr>
          <w:rFonts w:ascii="Times New Roman" w:hAnsi="Times New Roman" w:cs="Times New Roman"/>
          <w:sz w:val="28"/>
          <w:szCs w:val="28"/>
        </w:rPr>
        <w:t>31,20</w:t>
      </w:r>
      <w:r w:rsidRPr="0079282C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2B3A18" w:rsidRPr="0079282C">
        <w:rPr>
          <w:rFonts w:ascii="Times New Roman" w:hAnsi="Times New Roman" w:cs="Times New Roman"/>
          <w:sz w:val="28"/>
          <w:szCs w:val="28"/>
        </w:rPr>
        <w:t>полугодия</w:t>
      </w:r>
      <w:r w:rsidRPr="0079282C">
        <w:rPr>
          <w:rFonts w:ascii="Times New Roman" w:hAnsi="Times New Roman" w:cs="Times New Roman"/>
          <w:sz w:val="28"/>
          <w:szCs w:val="28"/>
        </w:rPr>
        <w:t xml:space="preserve"> на </w:t>
      </w:r>
      <w:r w:rsidR="002B3A18" w:rsidRPr="0079282C">
        <w:rPr>
          <w:rFonts w:ascii="Times New Roman" w:hAnsi="Times New Roman" w:cs="Times New Roman"/>
          <w:sz w:val="28"/>
          <w:szCs w:val="28"/>
        </w:rPr>
        <w:t>52,04</w:t>
      </w:r>
      <w:r w:rsidRPr="0079282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B3A18" w:rsidRPr="00792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A18" w:rsidRPr="0079282C">
        <w:rPr>
          <w:rFonts w:ascii="Times New Roman" w:hAnsi="Times New Roman" w:cs="Times New Roman"/>
          <w:sz w:val="28"/>
          <w:szCs w:val="28"/>
        </w:rPr>
        <w:t>Снижение поступлений в 2019 году по отношению к доходам аналогичного периода 2018 года составило 707,05  рубля или 59,58 процента. Причинами снижения поступлений явилось изменение порядка расчета платы в 2018 году, повлекшее не только снижение поступлений по итогам годового отчета, но и снижение авансовых платежей в течени</w:t>
      </w:r>
      <w:proofErr w:type="gramStart"/>
      <w:r w:rsidR="002B3A18" w:rsidRPr="007928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3A18" w:rsidRPr="0079282C">
        <w:rPr>
          <w:rFonts w:ascii="Times New Roman" w:hAnsi="Times New Roman" w:cs="Times New Roman"/>
          <w:sz w:val="28"/>
          <w:szCs w:val="28"/>
        </w:rPr>
        <w:t xml:space="preserve"> 2019 года, а так же возвраты в первом полугодии 2019 года переплаты образовавшейся по итогам 2018 года. </w:t>
      </w:r>
    </w:p>
    <w:p w:rsidR="00D8243D" w:rsidRPr="00AB3F15" w:rsidRDefault="00D8243D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82C">
        <w:rPr>
          <w:rFonts w:ascii="Times New Roman" w:hAnsi="Times New Roman" w:cs="Times New Roman"/>
          <w:i/>
          <w:sz w:val="28"/>
          <w:szCs w:val="28"/>
        </w:rPr>
        <w:t>Доходы от продажи материальных и нематериальных активов</w:t>
      </w:r>
      <w:r w:rsidRPr="00AB3F1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B3A18" w:rsidRPr="00AB3F15">
        <w:rPr>
          <w:rFonts w:ascii="Times New Roman" w:hAnsi="Times New Roman" w:cs="Times New Roman"/>
          <w:sz w:val="28"/>
          <w:szCs w:val="28"/>
        </w:rPr>
        <w:t>956,57</w:t>
      </w:r>
      <w:r w:rsidRPr="00AB3F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3A18" w:rsidRPr="00AB3F15">
        <w:rPr>
          <w:rFonts w:ascii="Times New Roman" w:hAnsi="Times New Roman" w:cs="Times New Roman"/>
          <w:sz w:val="28"/>
          <w:szCs w:val="28"/>
        </w:rPr>
        <w:t>при годовом плане в размере 705,58 тыс. рублей, выполнение плановых назначений обеспечено на 135,57 процента.  По отношению к исполнению I полугодия 2018  года поступления возросли на 534,47 тыс. рубля или на 126,62 процента.</w:t>
      </w:r>
    </w:p>
    <w:p w:rsidR="002B62CB" w:rsidRPr="00AB3F15" w:rsidRDefault="002B62CB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 xml:space="preserve">Штрафы, санкции, доходы от возмещения ущерба при плане на 2019 год в размере 7 543,39 тыс. рублей составили </w:t>
      </w:r>
      <w:r w:rsidR="002B3A18" w:rsidRPr="00AB3F15">
        <w:rPr>
          <w:rFonts w:ascii="Times New Roman" w:hAnsi="Times New Roman" w:cs="Times New Roman"/>
          <w:sz w:val="28"/>
          <w:szCs w:val="28"/>
        </w:rPr>
        <w:t>3 489,28 тыс.</w:t>
      </w:r>
      <w:r w:rsidRPr="00AB3F15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2B3A18" w:rsidRPr="00AB3F15">
        <w:rPr>
          <w:rFonts w:ascii="Times New Roman" w:hAnsi="Times New Roman" w:cs="Times New Roman"/>
          <w:sz w:val="28"/>
          <w:szCs w:val="28"/>
        </w:rPr>
        <w:t>46,26</w:t>
      </w:r>
      <w:r w:rsidRPr="00AB3F15">
        <w:rPr>
          <w:rFonts w:ascii="Times New Roman" w:hAnsi="Times New Roman" w:cs="Times New Roman"/>
          <w:sz w:val="28"/>
          <w:szCs w:val="28"/>
        </w:rPr>
        <w:t xml:space="preserve"> процента к годовому и </w:t>
      </w:r>
      <w:r w:rsidR="002B3A18" w:rsidRPr="00AB3F15">
        <w:rPr>
          <w:rFonts w:ascii="Times New Roman" w:hAnsi="Times New Roman" w:cs="Times New Roman"/>
          <w:sz w:val="28"/>
          <w:szCs w:val="28"/>
        </w:rPr>
        <w:t>129,08</w:t>
      </w:r>
      <w:r w:rsidRPr="00AB3F15">
        <w:rPr>
          <w:rFonts w:ascii="Times New Roman" w:hAnsi="Times New Roman" w:cs="Times New Roman"/>
          <w:sz w:val="28"/>
          <w:szCs w:val="28"/>
        </w:rPr>
        <w:t xml:space="preserve"> процента к уточненному плану I </w:t>
      </w:r>
      <w:r w:rsidR="002B3A18" w:rsidRPr="00AB3F15">
        <w:rPr>
          <w:rFonts w:ascii="Times New Roman" w:hAnsi="Times New Roman" w:cs="Times New Roman"/>
          <w:sz w:val="28"/>
          <w:szCs w:val="28"/>
        </w:rPr>
        <w:t>полугодия</w:t>
      </w:r>
      <w:r w:rsidRPr="00AB3F15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2B3A18" w:rsidRPr="00AB3F15">
        <w:rPr>
          <w:rFonts w:ascii="Times New Roman" w:hAnsi="Times New Roman" w:cs="Times New Roman"/>
          <w:sz w:val="28"/>
          <w:szCs w:val="28"/>
        </w:rPr>
        <w:t xml:space="preserve"> По отношению аналогичному периоду 2018 года поступления по данному доходному источнику выросли на 1 057,45 тыс. рубля или на 43,48 процента.</w:t>
      </w:r>
    </w:p>
    <w:p w:rsidR="002B3A18" w:rsidRPr="00AB3F15" w:rsidRDefault="002B3A18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2CB" w:rsidRPr="00AB3F15" w:rsidRDefault="002B62CB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AB3F15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 на 2019 год предусмотрены в объеме 1</w:t>
      </w:r>
      <w:r w:rsidR="00AB3F15" w:rsidRPr="00AB3F15">
        <w:rPr>
          <w:rFonts w:ascii="Times New Roman" w:hAnsi="Times New Roman" w:cs="Times New Roman"/>
          <w:sz w:val="28"/>
          <w:szCs w:val="28"/>
        </w:rPr>
        <w:t> 514 075</w:t>
      </w:r>
      <w:r w:rsidRPr="00AB3F15">
        <w:rPr>
          <w:rFonts w:ascii="Times New Roman" w:hAnsi="Times New Roman" w:cs="Times New Roman"/>
          <w:sz w:val="28"/>
          <w:szCs w:val="28"/>
        </w:rPr>
        <w:t>,4</w:t>
      </w:r>
      <w:r w:rsidR="00AB3F15" w:rsidRPr="00AB3F15">
        <w:rPr>
          <w:rFonts w:ascii="Times New Roman" w:hAnsi="Times New Roman" w:cs="Times New Roman"/>
          <w:sz w:val="28"/>
          <w:szCs w:val="28"/>
        </w:rPr>
        <w:t>4</w:t>
      </w:r>
      <w:r w:rsidRPr="00AB3F15">
        <w:rPr>
          <w:rFonts w:ascii="Times New Roman" w:hAnsi="Times New Roman" w:cs="Times New Roman"/>
          <w:sz w:val="28"/>
          <w:szCs w:val="28"/>
        </w:rPr>
        <w:t xml:space="preserve"> тыс. рублей. Фактические поступления составили </w:t>
      </w:r>
      <w:r w:rsidR="00AB3F15" w:rsidRPr="00AB3F15">
        <w:rPr>
          <w:rFonts w:ascii="Times New Roman" w:hAnsi="Times New Roman" w:cs="Times New Roman"/>
          <w:sz w:val="28"/>
          <w:szCs w:val="28"/>
        </w:rPr>
        <w:t>718 044,43</w:t>
      </w:r>
      <w:r w:rsidRPr="00AB3F1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3F15" w:rsidRPr="00AB3F15">
        <w:rPr>
          <w:rFonts w:ascii="Times New Roman" w:hAnsi="Times New Roman" w:cs="Times New Roman"/>
          <w:sz w:val="28"/>
          <w:szCs w:val="28"/>
        </w:rPr>
        <w:t>47,42</w:t>
      </w:r>
      <w:r w:rsidRPr="00AB3F15">
        <w:rPr>
          <w:rFonts w:ascii="Times New Roman" w:hAnsi="Times New Roman" w:cs="Times New Roman"/>
          <w:sz w:val="28"/>
          <w:szCs w:val="28"/>
        </w:rPr>
        <w:t xml:space="preserve"> процента к  годовому плану, 97,</w:t>
      </w:r>
      <w:r w:rsidR="00AB3F15" w:rsidRPr="00AB3F15">
        <w:rPr>
          <w:rFonts w:ascii="Times New Roman" w:hAnsi="Times New Roman" w:cs="Times New Roman"/>
          <w:sz w:val="28"/>
          <w:szCs w:val="28"/>
        </w:rPr>
        <w:t>9</w:t>
      </w:r>
      <w:r w:rsidRPr="00AB3F15">
        <w:rPr>
          <w:rFonts w:ascii="Times New Roman" w:hAnsi="Times New Roman" w:cs="Times New Roman"/>
          <w:sz w:val="28"/>
          <w:szCs w:val="28"/>
        </w:rPr>
        <w:t xml:space="preserve">2% к плану 1 </w:t>
      </w:r>
      <w:r w:rsidR="00AB3F15" w:rsidRPr="00AB3F15">
        <w:rPr>
          <w:rFonts w:ascii="Times New Roman" w:hAnsi="Times New Roman" w:cs="Times New Roman"/>
          <w:sz w:val="28"/>
          <w:szCs w:val="28"/>
        </w:rPr>
        <w:t>полугодия.</w:t>
      </w:r>
      <w:r w:rsidR="00AB3F15" w:rsidRPr="00AB3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82C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AB3F15" w:rsidRPr="00AB3F15">
        <w:rPr>
          <w:rFonts w:ascii="Times New Roman" w:hAnsi="Times New Roman" w:cs="Times New Roman"/>
          <w:sz w:val="28"/>
          <w:szCs w:val="28"/>
        </w:rPr>
        <w:t>оступления в бюджет городского округа в отчетном периоде сократились на  21 405,48 тыс. рублей к уровню поступлений аналогичного периода 2018 года. Основная причина снижения уровня безвозмездных поступлений из других бюджетов бюджетной системы - завершение строительства путепровода в 2018 году.</w:t>
      </w:r>
    </w:p>
    <w:p w:rsidR="003D2296" w:rsidRPr="00AB3F15" w:rsidRDefault="00AB3F15" w:rsidP="00AB3F15">
      <w:pPr>
        <w:tabs>
          <w:tab w:val="left" w:pos="0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ab/>
      </w:r>
      <w:r w:rsidR="003D2296" w:rsidRPr="00AB3F1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бюджета городского округа составляет </w:t>
      </w:r>
      <w:r w:rsidRPr="00AB3F15">
        <w:rPr>
          <w:rFonts w:ascii="Times New Roman" w:hAnsi="Times New Roman" w:cs="Times New Roman"/>
          <w:sz w:val="28"/>
          <w:szCs w:val="28"/>
        </w:rPr>
        <w:t>71,22</w:t>
      </w:r>
      <w:r w:rsidR="003D2296" w:rsidRPr="00AB3F1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D2296" w:rsidRPr="00AB3F15" w:rsidRDefault="003D2296" w:rsidP="00AB3F15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В структуре безвозмездных поступлений основная доля приходится на субвенции, предоставляемые из федерального и краевого бюджетов (</w:t>
      </w:r>
      <w:r w:rsidR="00AB3F15" w:rsidRPr="00AB3F15">
        <w:rPr>
          <w:rFonts w:ascii="Times New Roman" w:hAnsi="Times New Roman" w:cs="Times New Roman"/>
          <w:sz w:val="28"/>
          <w:szCs w:val="28"/>
        </w:rPr>
        <w:t>51,9</w:t>
      </w:r>
      <w:r w:rsidRPr="00AB3F1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B3F15" w:rsidRPr="00AB3F15" w:rsidRDefault="00AB3F15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lastRenderedPageBreak/>
        <w:t>Фактическое исполнение I полугодия 2019 года сложилось следующим образом:</w:t>
      </w:r>
    </w:p>
    <w:p w:rsidR="00AB3F15" w:rsidRPr="00AB3F15" w:rsidRDefault="00AB3F15" w:rsidP="00AB3F15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- дотации в сумме 41 946,23 тыс. рублей;</w:t>
      </w:r>
    </w:p>
    <w:p w:rsidR="00AB3F15" w:rsidRPr="00AB3F15" w:rsidRDefault="00AB3F15" w:rsidP="00AB3F15">
      <w:pPr>
        <w:tabs>
          <w:tab w:val="left" w:pos="709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- субсидии  бюджетам муниципальных образований в сумме                   154 381,55 тыс. рубля;</w:t>
      </w:r>
    </w:p>
    <w:p w:rsidR="00AB3F15" w:rsidRPr="00AB3F15" w:rsidRDefault="00AB3F15" w:rsidP="00AB3F15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- субвенции в сумме 523 714,53 тыс. рубля;</w:t>
      </w:r>
    </w:p>
    <w:p w:rsidR="00AB3F15" w:rsidRPr="00AB3F15" w:rsidRDefault="00AB3F15" w:rsidP="00AB3F15">
      <w:pPr>
        <w:tabs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- средства иных межбюджетных трансфертов составили                       743,85 тыс. рубля;</w:t>
      </w:r>
    </w:p>
    <w:p w:rsidR="00AB3F15" w:rsidRPr="00AB3F15" w:rsidRDefault="00AB3F15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- прочие безвозмездные поступления составили 4 511,23 тыс. рубля;</w:t>
      </w:r>
    </w:p>
    <w:p w:rsidR="00AB3F15" w:rsidRPr="00AB3F15" w:rsidRDefault="00AB3F15" w:rsidP="00AB3F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5">
        <w:rPr>
          <w:rFonts w:ascii="Times New Roman" w:hAnsi="Times New Roman" w:cs="Times New Roman"/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 из бюджетов муниципальных районов произведен в сумме – 7 252,96тыс. рубля.</w:t>
      </w:r>
    </w:p>
    <w:p w:rsidR="00AB3F15" w:rsidRPr="00013572" w:rsidRDefault="00AB3F15" w:rsidP="00013572">
      <w:pPr>
        <w:tabs>
          <w:tab w:val="left" w:pos="0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34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44571F" w:rsidRPr="00013572" w:rsidRDefault="0044571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Pr="00013572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013572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013572">
        <w:rPr>
          <w:rFonts w:ascii="Times New Roman" w:hAnsi="Times New Roman" w:cs="Times New Roman"/>
          <w:sz w:val="28"/>
          <w:szCs w:val="28"/>
        </w:rPr>
        <w:t xml:space="preserve">а по состоянию на 01 </w:t>
      </w:r>
      <w:r w:rsidR="00C90A4B" w:rsidRPr="00013572">
        <w:rPr>
          <w:rFonts w:ascii="Times New Roman" w:hAnsi="Times New Roman" w:cs="Times New Roman"/>
          <w:sz w:val="28"/>
          <w:szCs w:val="28"/>
        </w:rPr>
        <w:t>июля</w:t>
      </w:r>
      <w:r w:rsidR="00951BA9" w:rsidRPr="00013572">
        <w:rPr>
          <w:rFonts w:ascii="Times New Roman" w:hAnsi="Times New Roman" w:cs="Times New Roman"/>
          <w:sz w:val="28"/>
          <w:szCs w:val="28"/>
        </w:rPr>
        <w:t xml:space="preserve"> 2019</w:t>
      </w:r>
      <w:r w:rsidRPr="00013572">
        <w:rPr>
          <w:rFonts w:ascii="Times New Roman" w:hAnsi="Times New Roman" w:cs="Times New Roman"/>
          <w:sz w:val="28"/>
          <w:szCs w:val="28"/>
        </w:rPr>
        <w:t xml:space="preserve"> года составили 2</w:t>
      </w:r>
      <w:r w:rsidR="007F2CD5" w:rsidRPr="00013572">
        <w:rPr>
          <w:rFonts w:ascii="Times New Roman" w:hAnsi="Times New Roman" w:cs="Times New Roman"/>
          <w:sz w:val="28"/>
          <w:szCs w:val="28"/>
        </w:rPr>
        <w:t> </w:t>
      </w:r>
      <w:r w:rsidR="00C90A4B" w:rsidRPr="00013572">
        <w:rPr>
          <w:rFonts w:ascii="Times New Roman" w:hAnsi="Times New Roman" w:cs="Times New Roman"/>
          <w:sz w:val="28"/>
          <w:szCs w:val="28"/>
        </w:rPr>
        <w:t>318809,83</w:t>
      </w:r>
      <w:r w:rsidRPr="00013572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571F" w:rsidRPr="00013572" w:rsidRDefault="0044571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бюджета на 01 </w:t>
      </w:r>
      <w:r w:rsidR="00C90A4B" w:rsidRPr="00013572">
        <w:rPr>
          <w:rFonts w:ascii="Times New Roman" w:hAnsi="Times New Roman" w:cs="Times New Roman"/>
          <w:sz w:val="28"/>
          <w:szCs w:val="28"/>
        </w:rPr>
        <w:t>июля</w:t>
      </w:r>
      <w:r w:rsidRPr="00013572">
        <w:rPr>
          <w:rFonts w:ascii="Times New Roman" w:hAnsi="Times New Roman" w:cs="Times New Roman"/>
          <w:sz w:val="28"/>
          <w:szCs w:val="28"/>
        </w:rPr>
        <w:t xml:space="preserve"> 201</w:t>
      </w:r>
      <w:r w:rsidR="00951BA9" w:rsidRPr="00013572">
        <w:rPr>
          <w:rFonts w:ascii="Times New Roman" w:hAnsi="Times New Roman" w:cs="Times New Roman"/>
          <w:sz w:val="28"/>
          <w:szCs w:val="28"/>
        </w:rPr>
        <w:t>9</w:t>
      </w:r>
      <w:r w:rsidRPr="00013572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C90A4B" w:rsidRPr="00013572">
        <w:rPr>
          <w:rFonts w:ascii="Times New Roman" w:hAnsi="Times New Roman" w:cs="Times New Roman"/>
          <w:sz w:val="28"/>
          <w:szCs w:val="28"/>
        </w:rPr>
        <w:t>1 012 854,51</w:t>
      </w:r>
      <w:r w:rsidRPr="00013572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C90A4B" w:rsidRPr="00013572">
        <w:rPr>
          <w:rFonts w:ascii="Times New Roman" w:hAnsi="Times New Roman" w:cs="Times New Roman"/>
          <w:sz w:val="28"/>
          <w:szCs w:val="28"/>
        </w:rPr>
        <w:t>43,68</w:t>
      </w:r>
      <w:r w:rsidRPr="000135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013572">
        <w:rPr>
          <w:rFonts w:ascii="Times New Roman" w:hAnsi="Times New Roman" w:cs="Times New Roman"/>
          <w:sz w:val="28"/>
          <w:szCs w:val="28"/>
        </w:rPr>
        <w:t>а</w:t>
      </w:r>
      <w:r w:rsidRPr="00013572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0135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571F" w:rsidRPr="00013572" w:rsidRDefault="0044571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C90A4B" w:rsidRPr="00013572">
        <w:rPr>
          <w:rFonts w:ascii="Times New Roman" w:hAnsi="Times New Roman" w:cs="Times New Roman"/>
          <w:sz w:val="28"/>
          <w:szCs w:val="28"/>
        </w:rPr>
        <w:t>459 575,36</w:t>
      </w:r>
      <w:r w:rsidRPr="0001357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0A4B" w:rsidRPr="00013572">
        <w:rPr>
          <w:rFonts w:ascii="Times New Roman" w:hAnsi="Times New Roman" w:cs="Times New Roman"/>
          <w:sz w:val="28"/>
          <w:szCs w:val="28"/>
        </w:rPr>
        <w:t>43,76</w:t>
      </w:r>
      <w:r w:rsidR="0097212A" w:rsidRPr="00013572">
        <w:rPr>
          <w:rFonts w:ascii="Times New Roman" w:hAnsi="Times New Roman" w:cs="Times New Roman"/>
          <w:sz w:val="28"/>
          <w:szCs w:val="28"/>
        </w:rPr>
        <w:t xml:space="preserve"> </w:t>
      </w:r>
      <w:r w:rsidRPr="00013572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4571F" w:rsidRPr="00013572" w:rsidRDefault="0044571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13572">
        <w:rPr>
          <w:rFonts w:ascii="Times New Roman" w:hAnsi="Times New Roman" w:cs="Times New Roman"/>
          <w:sz w:val="28"/>
          <w:szCs w:val="28"/>
        </w:rPr>
        <w:t xml:space="preserve">дств </w:t>
      </w:r>
      <w:r w:rsidR="00C90A4B" w:rsidRPr="00013572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C90A4B" w:rsidRPr="00013572">
        <w:rPr>
          <w:rFonts w:ascii="Times New Roman" w:hAnsi="Times New Roman" w:cs="Times New Roman"/>
          <w:sz w:val="28"/>
          <w:szCs w:val="28"/>
        </w:rPr>
        <w:t>аевого бюджета 470 156,86</w:t>
      </w:r>
      <w:r w:rsidR="00905B13" w:rsidRPr="0001357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1357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05B13" w:rsidRPr="00013572">
        <w:rPr>
          <w:rFonts w:ascii="Times New Roman" w:hAnsi="Times New Roman" w:cs="Times New Roman"/>
          <w:sz w:val="28"/>
          <w:szCs w:val="28"/>
        </w:rPr>
        <w:t xml:space="preserve">или </w:t>
      </w:r>
      <w:r w:rsidR="00C90A4B" w:rsidRPr="00013572">
        <w:rPr>
          <w:rFonts w:ascii="Times New Roman" w:hAnsi="Times New Roman" w:cs="Times New Roman"/>
          <w:sz w:val="28"/>
          <w:szCs w:val="28"/>
        </w:rPr>
        <w:t>41,98</w:t>
      </w:r>
      <w:r w:rsidR="00905B13" w:rsidRPr="00013572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86263" w:rsidRPr="00013572" w:rsidRDefault="0044571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C90A4B" w:rsidRPr="00013572">
        <w:rPr>
          <w:rFonts w:ascii="Times New Roman" w:hAnsi="Times New Roman" w:cs="Times New Roman"/>
          <w:sz w:val="28"/>
          <w:szCs w:val="28"/>
        </w:rPr>
        <w:t>83 122,29</w:t>
      </w:r>
      <w:r w:rsidR="00905B13" w:rsidRPr="0001357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0A4B" w:rsidRPr="00013572">
        <w:rPr>
          <w:rFonts w:ascii="Times New Roman" w:hAnsi="Times New Roman" w:cs="Times New Roman"/>
          <w:sz w:val="28"/>
          <w:szCs w:val="28"/>
        </w:rPr>
        <w:t>55,8</w:t>
      </w:r>
      <w:r w:rsidR="00905B13" w:rsidRPr="0001357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86263" w:rsidRPr="00013572" w:rsidRDefault="00786263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72" w:rsidRDefault="0044571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>Исполнение бюджета городского округа осуществлялось в рамках реализации 16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01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7F" w:rsidRPr="00013572" w:rsidRDefault="00474C7F" w:rsidP="00013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4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9"/>
        <w:gridCol w:w="1945"/>
        <w:gridCol w:w="1905"/>
        <w:gridCol w:w="1923"/>
        <w:gridCol w:w="962"/>
      </w:tblGrid>
      <w:tr w:rsidR="00013572" w:rsidRPr="00013572" w:rsidTr="006A0E26">
        <w:trPr>
          <w:trHeight w:val="1173"/>
        </w:trPr>
        <w:tc>
          <w:tcPr>
            <w:tcW w:w="1333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о бюджете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Решением о бюджете с учетом изменений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за  первое полугодие 2019 год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 к уточненному плану</w:t>
            </w:r>
          </w:p>
        </w:tc>
      </w:tr>
      <w:tr w:rsidR="00013572" w:rsidRPr="00013572" w:rsidTr="006A0E26">
        <w:trPr>
          <w:trHeight w:val="50"/>
        </w:trPr>
        <w:tc>
          <w:tcPr>
            <w:tcW w:w="1333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13572" w:rsidRPr="00013572" w:rsidTr="00362595">
        <w:trPr>
          <w:trHeight w:val="353"/>
          <w:tblHeader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474C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474C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474C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013572" w:rsidRPr="00013572" w:rsidTr="00362595">
        <w:trPr>
          <w:trHeight w:val="375"/>
          <w:tblHeader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474C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474C7F">
            <w:pPr>
              <w:spacing w:line="216" w:lineRule="auto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474C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013572" w:rsidRDefault="00013572" w:rsidP="0001357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51,23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474C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47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</w:tr>
      <w:tr w:rsidR="00013572" w:rsidRPr="00013572" w:rsidTr="00362595">
        <w:trPr>
          <w:trHeight w:val="71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56,40</w:t>
            </w:r>
          </w:p>
        </w:tc>
      </w:tr>
      <w:tr w:rsidR="00013572" w:rsidRPr="00013572" w:rsidTr="00362595">
        <w:trPr>
          <w:trHeight w:val="37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</w:tr>
      <w:tr w:rsidR="00013572" w:rsidRPr="00013572" w:rsidTr="00362595">
        <w:trPr>
          <w:trHeight w:val="37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013572" w:rsidRPr="00013572" w:rsidTr="00362595">
        <w:trPr>
          <w:trHeight w:val="5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48,93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48,34</w:t>
            </w:r>
          </w:p>
        </w:tc>
      </w:tr>
      <w:tr w:rsidR="00013572" w:rsidRPr="00013572" w:rsidTr="00362595">
        <w:trPr>
          <w:trHeight w:val="37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</w:tr>
      <w:tr w:rsidR="00013572" w:rsidRPr="00013572" w:rsidTr="00362595">
        <w:trPr>
          <w:trHeight w:val="53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41,59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терроризма, межнациональные отношения и поддержка казачества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CE23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2" w:rsidRPr="006A0E26" w:rsidRDefault="00013572" w:rsidP="00CE23FC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1 813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C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2" w:rsidRPr="006A0E26" w:rsidRDefault="00013572" w:rsidP="003050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2 122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2" w:rsidRPr="006A0E26" w:rsidRDefault="00013572" w:rsidP="003050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3050F8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3050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3050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013572" w:rsidRPr="00013572" w:rsidTr="00362595">
        <w:trPr>
          <w:trHeight w:val="6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3050F8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2 007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E26" w:rsidRPr="006A0E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3050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2 318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3050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1 012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2" w:rsidRPr="006A0E26" w:rsidRDefault="00013572" w:rsidP="006A0E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26"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</w:tr>
    </w:tbl>
    <w:p w:rsidR="006A0E26" w:rsidRPr="006A0E26" w:rsidRDefault="006A0E26" w:rsidP="006A0E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C9" w:rsidRPr="006A0E26" w:rsidRDefault="00905B13" w:rsidP="006A0E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2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  муниципальным программам составило </w:t>
      </w:r>
      <w:r w:rsidR="006A0E26" w:rsidRPr="006A0E26">
        <w:rPr>
          <w:rFonts w:ascii="Times New Roman" w:hAnsi="Times New Roman" w:cs="Times New Roman"/>
          <w:sz w:val="28"/>
          <w:szCs w:val="28"/>
        </w:rPr>
        <w:t>924 676,88</w:t>
      </w:r>
      <w:r w:rsidRPr="006A0E26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6A0E26">
        <w:rPr>
          <w:rFonts w:ascii="Times New Roman" w:hAnsi="Times New Roman" w:cs="Times New Roman"/>
          <w:sz w:val="28"/>
          <w:szCs w:val="28"/>
        </w:rPr>
        <w:t xml:space="preserve"> </w:t>
      </w:r>
      <w:r w:rsidRPr="006A0E2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A0E26" w:rsidRPr="006A0E26">
        <w:rPr>
          <w:rFonts w:ascii="Times New Roman" w:hAnsi="Times New Roman" w:cs="Times New Roman"/>
          <w:sz w:val="28"/>
          <w:szCs w:val="28"/>
        </w:rPr>
        <w:t>43,56</w:t>
      </w:r>
      <w:r w:rsidRPr="006A0E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74C7F" w:rsidRDefault="00951BA9" w:rsidP="00474C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E26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расходам  сложилось в сумме </w:t>
      </w:r>
      <w:r w:rsidR="006A0E26" w:rsidRPr="006A0E26">
        <w:rPr>
          <w:rFonts w:ascii="Times New Roman" w:hAnsi="Times New Roman" w:cs="Times New Roman"/>
          <w:sz w:val="28"/>
          <w:szCs w:val="28"/>
        </w:rPr>
        <w:t>88 177,63</w:t>
      </w:r>
      <w:r w:rsidRPr="006A0E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4C7F">
        <w:rPr>
          <w:rFonts w:ascii="Times New Roman" w:hAnsi="Times New Roman" w:cs="Times New Roman"/>
          <w:sz w:val="28"/>
          <w:szCs w:val="28"/>
        </w:rPr>
        <w:t>44,9</w:t>
      </w:r>
      <w:r w:rsidR="004F3821">
        <w:rPr>
          <w:rFonts w:ascii="Times New Roman" w:hAnsi="Times New Roman" w:cs="Times New Roman"/>
          <w:sz w:val="28"/>
          <w:szCs w:val="28"/>
        </w:rPr>
        <w:t xml:space="preserve">5 </w:t>
      </w:r>
      <w:r w:rsidRPr="006A0E26">
        <w:rPr>
          <w:rFonts w:ascii="Times New Roman" w:hAnsi="Times New Roman" w:cs="Times New Roman"/>
          <w:sz w:val="28"/>
          <w:szCs w:val="28"/>
        </w:rPr>
        <w:t>процента</w:t>
      </w:r>
      <w:r w:rsidR="00235E62" w:rsidRPr="006A0E26">
        <w:rPr>
          <w:rFonts w:ascii="Times New Roman" w:hAnsi="Times New Roman" w:cs="Times New Roman"/>
          <w:sz w:val="28"/>
          <w:szCs w:val="28"/>
        </w:rPr>
        <w:t>.</w:t>
      </w:r>
    </w:p>
    <w:p w:rsidR="00474C7F" w:rsidRPr="004F3821" w:rsidRDefault="00474C7F" w:rsidP="004F382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821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аналогичным периодом прошлого года объем расходов бюджета городского округа за 1 полугодие 2019 года увеличился на 17 464,07 тыс. рублей или на 1,75%. </w:t>
      </w:r>
    </w:p>
    <w:p w:rsidR="00474C7F" w:rsidRDefault="00474C7F" w:rsidP="007928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21">
        <w:rPr>
          <w:rFonts w:ascii="Times New Roman" w:hAnsi="Times New Roman" w:cs="Times New Roman"/>
          <w:sz w:val="28"/>
          <w:szCs w:val="28"/>
        </w:rPr>
        <w:t xml:space="preserve">За 1 полугодие 2019 года муниципальные гарантии </w:t>
      </w:r>
      <w:proofErr w:type="spellStart"/>
      <w:r w:rsidRPr="004F3821">
        <w:rPr>
          <w:rFonts w:ascii="Times New Roman" w:hAnsi="Times New Roman" w:cs="Times New Roman"/>
          <w:sz w:val="28"/>
          <w:szCs w:val="28"/>
        </w:rPr>
        <w:t>Изобильненским</w:t>
      </w:r>
      <w:proofErr w:type="spellEnd"/>
      <w:r w:rsidRPr="004F3821">
        <w:rPr>
          <w:rFonts w:ascii="Times New Roman" w:hAnsi="Times New Roman" w:cs="Times New Roman"/>
          <w:sz w:val="28"/>
          <w:szCs w:val="28"/>
        </w:rPr>
        <w:t xml:space="preserve"> городским округом Ставропольского края не предоставлялись.</w:t>
      </w:r>
    </w:p>
    <w:p w:rsidR="000A37B2" w:rsidRPr="006A0E26" w:rsidRDefault="000A37B2" w:rsidP="00474C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E26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6A0E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6A0E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A0E26">
        <w:rPr>
          <w:rFonts w:ascii="Times New Roman" w:hAnsi="Times New Roman" w:cs="Times New Roman"/>
          <w:sz w:val="28"/>
          <w:szCs w:val="28"/>
        </w:rPr>
        <w:t xml:space="preserve">,  а также документов и материалов, представленных в составе  проекта решения  </w:t>
      </w:r>
      <w:r w:rsidR="00905B13" w:rsidRPr="006A0E26">
        <w:rPr>
          <w:rFonts w:ascii="Times New Roman" w:hAnsi="Times New Roman" w:cs="Times New Roman"/>
          <w:sz w:val="28"/>
          <w:szCs w:val="28"/>
        </w:rPr>
        <w:t>Думы  Изобильненского городского округа</w:t>
      </w:r>
      <w:r w:rsidRPr="006A0E26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6A0E26">
        <w:rPr>
          <w:rFonts w:ascii="Times New Roman" w:hAnsi="Times New Roman" w:cs="Times New Roman"/>
          <w:sz w:val="28"/>
          <w:szCs w:val="28"/>
        </w:rPr>
        <w:t>«</w:t>
      </w:r>
      <w:r w:rsidR="00776E04" w:rsidRPr="006A0E26">
        <w:rPr>
          <w:rFonts w:ascii="Times New Roman" w:hAnsi="Times New Roman" w:cs="Times New Roman"/>
          <w:sz w:val="28"/>
          <w:szCs w:val="28"/>
        </w:rPr>
        <w:t>О</w:t>
      </w:r>
      <w:r w:rsidRPr="006A0E26">
        <w:rPr>
          <w:rFonts w:ascii="Times New Roman" w:hAnsi="Times New Roman" w:cs="Times New Roman"/>
          <w:sz w:val="28"/>
          <w:szCs w:val="28"/>
        </w:rPr>
        <w:t xml:space="preserve">б исполнении  бюджета </w:t>
      </w:r>
      <w:r w:rsidR="00905B13" w:rsidRPr="006A0E26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6A0E26">
        <w:rPr>
          <w:rFonts w:ascii="Times New Roman" w:hAnsi="Times New Roman" w:cs="Times New Roman"/>
          <w:sz w:val="28"/>
          <w:szCs w:val="28"/>
        </w:rPr>
        <w:t xml:space="preserve">городского округа за 1 </w:t>
      </w:r>
      <w:r w:rsidR="004F3821">
        <w:rPr>
          <w:rFonts w:ascii="Times New Roman" w:hAnsi="Times New Roman" w:cs="Times New Roman"/>
          <w:sz w:val="28"/>
          <w:szCs w:val="28"/>
        </w:rPr>
        <w:t>полугодие</w:t>
      </w:r>
      <w:r w:rsidR="00776E04" w:rsidRPr="006A0E26">
        <w:rPr>
          <w:rFonts w:ascii="Times New Roman" w:hAnsi="Times New Roman" w:cs="Times New Roman"/>
          <w:sz w:val="28"/>
          <w:szCs w:val="28"/>
        </w:rPr>
        <w:t xml:space="preserve"> 201</w:t>
      </w:r>
      <w:r w:rsidR="00235E62" w:rsidRPr="006A0E26">
        <w:rPr>
          <w:rFonts w:ascii="Times New Roman" w:hAnsi="Times New Roman" w:cs="Times New Roman"/>
          <w:sz w:val="28"/>
          <w:szCs w:val="28"/>
        </w:rPr>
        <w:t xml:space="preserve">9 </w:t>
      </w:r>
      <w:r w:rsidR="00776E04" w:rsidRPr="006A0E26">
        <w:rPr>
          <w:rFonts w:ascii="Times New Roman" w:hAnsi="Times New Roman" w:cs="Times New Roman"/>
          <w:sz w:val="28"/>
          <w:szCs w:val="28"/>
        </w:rPr>
        <w:t>г</w:t>
      </w:r>
      <w:r w:rsidR="00235E62" w:rsidRPr="006A0E26">
        <w:rPr>
          <w:rFonts w:ascii="Times New Roman" w:hAnsi="Times New Roman" w:cs="Times New Roman"/>
          <w:sz w:val="28"/>
          <w:szCs w:val="28"/>
        </w:rPr>
        <w:t>ода»</w:t>
      </w:r>
      <w:r w:rsidRPr="006A0E26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</w:t>
      </w:r>
      <w:proofErr w:type="gramEnd"/>
      <w:r w:rsidRPr="006A0E26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905B13" w:rsidRPr="006A0E26">
        <w:rPr>
          <w:rFonts w:ascii="Times New Roman" w:hAnsi="Times New Roman" w:cs="Times New Roman"/>
          <w:sz w:val="28"/>
          <w:szCs w:val="28"/>
        </w:rPr>
        <w:t>счетный орган</w:t>
      </w:r>
      <w:r w:rsidRPr="006A0E26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6A0E26">
        <w:rPr>
          <w:rFonts w:ascii="Times New Roman" w:hAnsi="Times New Roman" w:cs="Times New Roman"/>
          <w:sz w:val="28"/>
          <w:szCs w:val="28"/>
        </w:rPr>
        <w:t>рассмотрению</w:t>
      </w:r>
      <w:r w:rsidRPr="006A0E26">
        <w:rPr>
          <w:rFonts w:ascii="Times New Roman" w:hAnsi="Times New Roman" w:cs="Times New Roman"/>
          <w:sz w:val="28"/>
          <w:szCs w:val="28"/>
        </w:rPr>
        <w:t>.</w:t>
      </w:r>
    </w:p>
    <w:p w:rsidR="000A37B2" w:rsidRPr="00971AEE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971AEE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:rsidR="000A37B2" w:rsidRPr="00971AEE" w:rsidRDefault="000A37B2" w:rsidP="004C1C91">
      <w:pPr>
        <w:spacing w:after="0" w:line="192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971AEE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:rsidR="0083718C" w:rsidRPr="00971AEE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0A37B2" w:rsidRPr="004F3821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82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5B13" w:rsidRPr="004F3821">
        <w:rPr>
          <w:rFonts w:ascii="Times New Roman" w:hAnsi="Times New Roman" w:cs="Times New Roman"/>
          <w:sz w:val="26"/>
          <w:szCs w:val="26"/>
        </w:rPr>
        <w:t>К</w:t>
      </w:r>
      <w:r w:rsidRPr="004F3821">
        <w:rPr>
          <w:rFonts w:ascii="Times New Roman" w:hAnsi="Times New Roman" w:cs="Times New Roman"/>
          <w:sz w:val="26"/>
          <w:szCs w:val="26"/>
        </w:rPr>
        <w:t>онтрольно-</w:t>
      </w:r>
      <w:r w:rsidR="00905B13" w:rsidRPr="004F3821">
        <w:rPr>
          <w:rFonts w:ascii="Times New Roman" w:hAnsi="Times New Roman" w:cs="Times New Roman"/>
          <w:sz w:val="26"/>
          <w:szCs w:val="26"/>
        </w:rPr>
        <w:t>счетного органа</w:t>
      </w:r>
    </w:p>
    <w:p w:rsidR="000A37B2" w:rsidRPr="004F3821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821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936E58" w:rsidRPr="004F382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0A37B2" w:rsidRPr="004F3821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821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   </w:t>
      </w:r>
      <w:r w:rsidR="00722AF4" w:rsidRPr="004F38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F3821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:rsidR="000A37B2" w:rsidRPr="004F3821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821">
        <w:rPr>
          <w:rFonts w:ascii="Times New Roman" w:hAnsi="Times New Roman" w:cs="Times New Roman"/>
          <w:sz w:val="26"/>
          <w:szCs w:val="26"/>
        </w:rPr>
        <w:tab/>
      </w:r>
    </w:p>
    <w:p w:rsidR="000A37B2" w:rsidRPr="004F3821" w:rsidRDefault="004F3821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821">
        <w:rPr>
          <w:rFonts w:ascii="Times New Roman" w:hAnsi="Times New Roman" w:cs="Times New Roman"/>
          <w:sz w:val="26"/>
          <w:szCs w:val="26"/>
        </w:rPr>
        <w:t>07</w:t>
      </w:r>
      <w:r w:rsidR="0083718C" w:rsidRPr="004F3821">
        <w:rPr>
          <w:rFonts w:ascii="Times New Roman" w:hAnsi="Times New Roman" w:cs="Times New Roman"/>
          <w:sz w:val="26"/>
          <w:szCs w:val="26"/>
        </w:rPr>
        <w:t>.0</w:t>
      </w:r>
      <w:r w:rsidRPr="004F3821">
        <w:rPr>
          <w:rFonts w:ascii="Times New Roman" w:hAnsi="Times New Roman" w:cs="Times New Roman"/>
          <w:sz w:val="26"/>
          <w:szCs w:val="26"/>
        </w:rPr>
        <w:t>8</w:t>
      </w:r>
      <w:r w:rsidR="0083718C" w:rsidRPr="004F3821">
        <w:rPr>
          <w:rFonts w:ascii="Times New Roman" w:hAnsi="Times New Roman" w:cs="Times New Roman"/>
          <w:sz w:val="26"/>
          <w:szCs w:val="26"/>
        </w:rPr>
        <w:t>.201</w:t>
      </w:r>
      <w:r w:rsidR="00235E62" w:rsidRPr="004F3821">
        <w:rPr>
          <w:rFonts w:ascii="Times New Roman" w:hAnsi="Times New Roman" w:cs="Times New Roman"/>
          <w:sz w:val="26"/>
          <w:szCs w:val="26"/>
        </w:rPr>
        <w:t>9</w:t>
      </w:r>
      <w:r w:rsidR="004C1C91" w:rsidRPr="004F3821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4F3821">
        <w:rPr>
          <w:rFonts w:ascii="Times New Roman" w:hAnsi="Times New Roman" w:cs="Times New Roman"/>
          <w:sz w:val="26"/>
          <w:szCs w:val="26"/>
        </w:rPr>
        <w:t>г</w:t>
      </w:r>
      <w:r w:rsidR="0083718C" w:rsidRPr="004F3821">
        <w:rPr>
          <w:rFonts w:ascii="Times New Roman" w:hAnsi="Times New Roman" w:cs="Times New Roman"/>
          <w:sz w:val="26"/>
          <w:szCs w:val="26"/>
        </w:rPr>
        <w:t>.</w:t>
      </w:r>
      <w:r w:rsidR="000A37B2" w:rsidRPr="004F3821">
        <w:rPr>
          <w:rFonts w:ascii="Times New Roman" w:hAnsi="Times New Roman" w:cs="Times New Roman"/>
          <w:sz w:val="26"/>
          <w:szCs w:val="26"/>
        </w:rPr>
        <w:tab/>
      </w:r>
      <w:r w:rsidR="000A37B2" w:rsidRPr="004F3821">
        <w:rPr>
          <w:rFonts w:ascii="Times New Roman" w:hAnsi="Times New Roman" w:cs="Times New Roman"/>
          <w:sz w:val="26"/>
          <w:szCs w:val="26"/>
        </w:rPr>
        <w:tab/>
      </w:r>
    </w:p>
    <w:p w:rsidR="00B31DA9" w:rsidRPr="00971AEE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971AEE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971AEE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CE" w:rsidRDefault="006A62CE" w:rsidP="00C9263C">
      <w:pPr>
        <w:spacing w:after="0" w:line="240" w:lineRule="auto"/>
      </w:pPr>
      <w:r>
        <w:separator/>
      </w:r>
    </w:p>
  </w:endnote>
  <w:endnote w:type="continuationSeparator" w:id="0">
    <w:p w:rsidR="006A62CE" w:rsidRDefault="006A62CE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CE" w:rsidRDefault="006A62CE" w:rsidP="00C9263C">
      <w:pPr>
        <w:spacing w:after="0" w:line="240" w:lineRule="auto"/>
      </w:pPr>
      <w:r>
        <w:separator/>
      </w:r>
    </w:p>
  </w:footnote>
  <w:footnote w:type="continuationSeparator" w:id="0">
    <w:p w:rsidR="006A62CE" w:rsidRDefault="006A62CE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8E6A3B" w:rsidRDefault="00850A46">
        <w:pPr>
          <w:pStyle w:val="a7"/>
          <w:jc w:val="center"/>
        </w:pPr>
        <w:fldSimple w:instr=" PAGE   \* MERGEFORMAT ">
          <w:r w:rsidR="00362595">
            <w:rPr>
              <w:noProof/>
            </w:rPr>
            <w:t>9</w:t>
          </w:r>
        </w:fldSimple>
      </w:p>
    </w:sdtContent>
  </w:sdt>
  <w:p w:rsidR="008E6A3B" w:rsidRDefault="008E6A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824"/>
    <w:rsid w:val="00013572"/>
    <w:rsid w:val="000333D3"/>
    <w:rsid w:val="00040814"/>
    <w:rsid w:val="00043D56"/>
    <w:rsid w:val="000654E6"/>
    <w:rsid w:val="0007604E"/>
    <w:rsid w:val="00081E24"/>
    <w:rsid w:val="00095075"/>
    <w:rsid w:val="000A1CC6"/>
    <w:rsid w:val="000A37B2"/>
    <w:rsid w:val="000B21BB"/>
    <w:rsid w:val="000B595C"/>
    <w:rsid w:val="000C5C10"/>
    <w:rsid w:val="000E5316"/>
    <w:rsid w:val="001059CF"/>
    <w:rsid w:val="00114EEC"/>
    <w:rsid w:val="0015132E"/>
    <w:rsid w:val="00152CD2"/>
    <w:rsid w:val="001535B0"/>
    <w:rsid w:val="001632FA"/>
    <w:rsid w:val="001646C5"/>
    <w:rsid w:val="001B7349"/>
    <w:rsid w:val="001B77D2"/>
    <w:rsid w:val="001C646E"/>
    <w:rsid w:val="001D0A1B"/>
    <w:rsid w:val="001D137F"/>
    <w:rsid w:val="001E1A91"/>
    <w:rsid w:val="001E2D13"/>
    <w:rsid w:val="001F1BB8"/>
    <w:rsid w:val="001F409D"/>
    <w:rsid w:val="00200100"/>
    <w:rsid w:val="002117BB"/>
    <w:rsid w:val="00224E98"/>
    <w:rsid w:val="00235E62"/>
    <w:rsid w:val="00285221"/>
    <w:rsid w:val="002A40E1"/>
    <w:rsid w:val="002B3A18"/>
    <w:rsid w:val="002B62CB"/>
    <w:rsid w:val="002D643F"/>
    <w:rsid w:val="002E61DC"/>
    <w:rsid w:val="003050F8"/>
    <w:rsid w:val="00326C0A"/>
    <w:rsid w:val="003473A3"/>
    <w:rsid w:val="0035191F"/>
    <w:rsid w:val="00351A35"/>
    <w:rsid w:val="0036159A"/>
    <w:rsid w:val="00362595"/>
    <w:rsid w:val="003703C6"/>
    <w:rsid w:val="003804F2"/>
    <w:rsid w:val="00380AAC"/>
    <w:rsid w:val="00387AA7"/>
    <w:rsid w:val="003D2296"/>
    <w:rsid w:val="003D3E54"/>
    <w:rsid w:val="003E41CC"/>
    <w:rsid w:val="003E4E82"/>
    <w:rsid w:val="003F193C"/>
    <w:rsid w:val="00404A2C"/>
    <w:rsid w:val="0044571F"/>
    <w:rsid w:val="004515F0"/>
    <w:rsid w:val="00457B97"/>
    <w:rsid w:val="00474C7F"/>
    <w:rsid w:val="00492AA8"/>
    <w:rsid w:val="004A5730"/>
    <w:rsid w:val="004C1C91"/>
    <w:rsid w:val="004C437A"/>
    <w:rsid w:val="004D337C"/>
    <w:rsid w:val="004E45AE"/>
    <w:rsid w:val="004F3821"/>
    <w:rsid w:val="004F5700"/>
    <w:rsid w:val="005024D6"/>
    <w:rsid w:val="00531842"/>
    <w:rsid w:val="00532328"/>
    <w:rsid w:val="00532A2A"/>
    <w:rsid w:val="00543C01"/>
    <w:rsid w:val="00555185"/>
    <w:rsid w:val="00555E80"/>
    <w:rsid w:val="00591ABF"/>
    <w:rsid w:val="005936AB"/>
    <w:rsid w:val="005A5761"/>
    <w:rsid w:val="005B1F0B"/>
    <w:rsid w:val="005B4337"/>
    <w:rsid w:val="005D0EDB"/>
    <w:rsid w:val="005F06FF"/>
    <w:rsid w:val="005F2C2D"/>
    <w:rsid w:val="00607FF7"/>
    <w:rsid w:val="00613810"/>
    <w:rsid w:val="00623BC2"/>
    <w:rsid w:val="006271B3"/>
    <w:rsid w:val="006333EE"/>
    <w:rsid w:val="00635E53"/>
    <w:rsid w:val="006A0E26"/>
    <w:rsid w:val="006A62CE"/>
    <w:rsid w:val="006A76ED"/>
    <w:rsid w:val="006B7894"/>
    <w:rsid w:val="006E4A2B"/>
    <w:rsid w:val="006F7440"/>
    <w:rsid w:val="00722AF4"/>
    <w:rsid w:val="0073022A"/>
    <w:rsid w:val="00774D43"/>
    <w:rsid w:val="00776E04"/>
    <w:rsid w:val="00786263"/>
    <w:rsid w:val="007865C9"/>
    <w:rsid w:val="0079268E"/>
    <w:rsid w:val="0079282C"/>
    <w:rsid w:val="00794E69"/>
    <w:rsid w:val="007B58AB"/>
    <w:rsid w:val="007C3406"/>
    <w:rsid w:val="007F2CD5"/>
    <w:rsid w:val="00811540"/>
    <w:rsid w:val="00813245"/>
    <w:rsid w:val="00823650"/>
    <w:rsid w:val="00823D8F"/>
    <w:rsid w:val="00826057"/>
    <w:rsid w:val="0083718C"/>
    <w:rsid w:val="00847324"/>
    <w:rsid w:val="00850A46"/>
    <w:rsid w:val="00855A49"/>
    <w:rsid w:val="00860A3F"/>
    <w:rsid w:val="0086766B"/>
    <w:rsid w:val="0086795E"/>
    <w:rsid w:val="00880710"/>
    <w:rsid w:val="008936C9"/>
    <w:rsid w:val="008A2E8D"/>
    <w:rsid w:val="008B47A7"/>
    <w:rsid w:val="008B62DA"/>
    <w:rsid w:val="008C3F49"/>
    <w:rsid w:val="008C6C9B"/>
    <w:rsid w:val="008E0845"/>
    <w:rsid w:val="008E6A3B"/>
    <w:rsid w:val="00903C0C"/>
    <w:rsid w:val="00905B13"/>
    <w:rsid w:val="00917737"/>
    <w:rsid w:val="00923720"/>
    <w:rsid w:val="00926D18"/>
    <w:rsid w:val="009302E1"/>
    <w:rsid w:val="00936E58"/>
    <w:rsid w:val="00951BA9"/>
    <w:rsid w:val="00954887"/>
    <w:rsid w:val="00964CCA"/>
    <w:rsid w:val="00971AEE"/>
    <w:rsid w:val="0097212A"/>
    <w:rsid w:val="00993CC8"/>
    <w:rsid w:val="00996FC9"/>
    <w:rsid w:val="009B186C"/>
    <w:rsid w:val="009B50FE"/>
    <w:rsid w:val="009B7EBC"/>
    <w:rsid w:val="009D7EB9"/>
    <w:rsid w:val="009F0AF6"/>
    <w:rsid w:val="009F75FC"/>
    <w:rsid w:val="00A0203C"/>
    <w:rsid w:val="00A225F6"/>
    <w:rsid w:val="00A56044"/>
    <w:rsid w:val="00A627E7"/>
    <w:rsid w:val="00A716BD"/>
    <w:rsid w:val="00A910B0"/>
    <w:rsid w:val="00A91D8A"/>
    <w:rsid w:val="00A952B9"/>
    <w:rsid w:val="00AA102F"/>
    <w:rsid w:val="00AA1DE0"/>
    <w:rsid w:val="00AA59FE"/>
    <w:rsid w:val="00AB35DB"/>
    <w:rsid w:val="00AB3F15"/>
    <w:rsid w:val="00AB6A53"/>
    <w:rsid w:val="00AB6CEB"/>
    <w:rsid w:val="00AC23DC"/>
    <w:rsid w:val="00AC29D7"/>
    <w:rsid w:val="00AD3495"/>
    <w:rsid w:val="00AE0CF5"/>
    <w:rsid w:val="00AF65FA"/>
    <w:rsid w:val="00B07A21"/>
    <w:rsid w:val="00B31DA9"/>
    <w:rsid w:val="00B45268"/>
    <w:rsid w:val="00B503D3"/>
    <w:rsid w:val="00B61CF1"/>
    <w:rsid w:val="00B62230"/>
    <w:rsid w:val="00B654DA"/>
    <w:rsid w:val="00B84BE8"/>
    <w:rsid w:val="00B96512"/>
    <w:rsid w:val="00BA40F4"/>
    <w:rsid w:val="00BC1651"/>
    <w:rsid w:val="00BC3372"/>
    <w:rsid w:val="00BC7AC5"/>
    <w:rsid w:val="00BD00AC"/>
    <w:rsid w:val="00BF2D81"/>
    <w:rsid w:val="00BF7817"/>
    <w:rsid w:val="00C05A45"/>
    <w:rsid w:val="00C3642A"/>
    <w:rsid w:val="00C601B0"/>
    <w:rsid w:val="00C67D45"/>
    <w:rsid w:val="00C7220B"/>
    <w:rsid w:val="00C90A4B"/>
    <w:rsid w:val="00C9263C"/>
    <w:rsid w:val="00CA78C6"/>
    <w:rsid w:val="00CB1741"/>
    <w:rsid w:val="00CB72F2"/>
    <w:rsid w:val="00CD2C61"/>
    <w:rsid w:val="00CE23FC"/>
    <w:rsid w:val="00D10CE6"/>
    <w:rsid w:val="00D31DFA"/>
    <w:rsid w:val="00D4268C"/>
    <w:rsid w:val="00D434BB"/>
    <w:rsid w:val="00D76EB7"/>
    <w:rsid w:val="00D8243D"/>
    <w:rsid w:val="00D83539"/>
    <w:rsid w:val="00D90BAE"/>
    <w:rsid w:val="00D9605A"/>
    <w:rsid w:val="00DB122A"/>
    <w:rsid w:val="00DB37EB"/>
    <w:rsid w:val="00DD235D"/>
    <w:rsid w:val="00DE04C9"/>
    <w:rsid w:val="00E41937"/>
    <w:rsid w:val="00E56141"/>
    <w:rsid w:val="00E624FB"/>
    <w:rsid w:val="00E74BEE"/>
    <w:rsid w:val="00E916F1"/>
    <w:rsid w:val="00E92C01"/>
    <w:rsid w:val="00E94955"/>
    <w:rsid w:val="00ED0601"/>
    <w:rsid w:val="00EE6334"/>
    <w:rsid w:val="00F0336E"/>
    <w:rsid w:val="00F22E8F"/>
    <w:rsid w:val="00F45CCD"/>
    <w:rsid w:val="00F6212C"/>
    <w:rsid w:val="00F8571A"/>
    <w:rsid w:val="00F90CE7"/>
    <w:rsid w:val="00F97C1B"/>
    <w:rsid w:val="00FB768F"/>
    <w:rsid w:val="00FC4D88"/>
    <w:rsid w:val="00FC6253"/>
    <w:rsid w:val="00FE65E7"/>
    <w:rsid w:val="00FE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6B20-9D3D-4B2C-A4E7-5133B08B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9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2018-04-13T09:49:00Z</cp:lastPrinted>
  <dcterms:created xsi:type="dcterms:W3CDTF">2013-04-11T08:17:00Z</dcterms:created>
  <dcterms:modified xsi:type="dcterms:W3CDTF">2019-08-07T08:45:00Z</dcterms:modified>
</cp:coreProperties>
</file>